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PX Credits</w:t>
      </w:r>
    </w:p>
    <w:p>
      <w:pPr>
        <w:pStyle w:val="Heading1"/>
        <w:ind w:hanging="0" w:start="0"/>
        <w:rPr/>
      </w:pPr>
      <w:r>
        <w:rPr/>
        <w:t>Items to Consider</w:t>
      </w:r>
    </w:p>
    <w:p>
      <w:pPr>
        <w:pStyle w:val="Normal"/>
        <w:rPr/>
      </w:pPr>
      <w:r>
        <w:rPr/>
      </w:r>
    </w:p>
    <w:p>
      <w:pPr>
        <w:pStyle w:val="Normal"/>
        <w:rPr>
          <w:sz w:val="18"/>
        </w:rPr>
      </w:pPr>
      <w:r>
        <w:rPr>
          <w:sz w:val="18"/>
        </w:rPr>
      </w:r>
    </w:p>
    <w:p>
      <w:pPr>
        <w:pStyle w:val="Normal"/>
        <w:numPr>
          <w:ilvl w:val="0"/>
          <w:numId w:val="3"/>
        </w:numPr>
        <w:rPr>
          <w:b/>
          <w:sz w:val="28"/>
        </w:rPr>
      </w:pPr>
      <w:r>
        <w:rPr>
          <w:b/>
          <w:sz w:val="28"/>
        </w:rPr>
        <w:t>Interim Methodology –Effective January 19</w:t>
      </w:r>
      <w:r>
        <w:rPr>
          <w:b/>
          <w:sz w:val="28"/>
          <w:vertAlign w:val="superscript"/>
        </w:rPr>
        <w:t>th</w:t>
      </w:r>
      <w:r>
        <w:rPr>
          <w:b/>
          <w:sz w:val="28"/>
        </w:rPr>
        <w:t>, 2001</w:t>
      </w:r>
    </w:p>
    <w:p>
      <w:pPr>
        <w:pStyle w:val="Normal"/>
        <w:rPr>
          <w:b/>
          <w:sz w:val="28"/>
        </w:rPr>
      </w:pPr>
      <w:r>
        <w:rPr>
          <w:b/>
          <w:sz w:val="28"/>
        </w:rPr>
        <w:t xml:space="preserve">SCE and PG&amp;E </w:t>
      </w:r>
    </w:p>
    <w:p>
      <w:pPr>
        <w:pStyle w:val="Normal"/>
        <w:rPr>
          <w:b/>
          <w:sz w:val="24"/>
        </w:rPr>
      </w:pPr>
      <w:r>
        <w:rPr>
          <w:b/>
          <w:sz w:val="24"/>
        </w:rPr>
      </w:r>
    </w:p>
    <w:p>
      <w:pPr>
        <w:pStyle w:val="Normal"/>
        <w:rPr>
          <w:b/>
          <w:sz w:val="24"/>
        </w:rPr>
      </w:pPr>
      <w:r>
        <w:rPr>
          <w:b/>
          <w:sz w:val="24"/>
        </w:rPr>
        <w:t>Background:</w:t>
      </w:r>
    </w:p>
    <w:p>
      <w:pPr>
        <w:pStyle w:val="Normal"/>
        <w:rPr>
          <w:b/>
          <w:sz w:val="24"/>
        </w:rPr>
      </w:pPr>
      <w:r>
        <w:rPr>
          <w:b/>
          <w:sz w:val="24"/>
        </w:rPr>
        <w:t>SCE and PG&amp;E have implemented an interim methodology in order to calculate the PX Credit amount.   This calculation reflects the weighted average of the following:</w:t>
      </w:r>
    </w:p>
    <w:p>
      <w:pPr>
        <w:pStyle w:val="Normal"/>
        <w:rPr>
          <w:b/>
          <w:sz w:val="24"/>
        </w:rPr>
      </w:pPr>
      <w:r>
        <w:rPr>
          <w:b/>
          <w:sz w:val="24"/>
        </w:rPr>
      </w:r>
    </w:p>
    <w:p>
      <w:pPr>
        <w:pStyle w:val="Heading2"/>
        <w:ind w:hanging="0" w:start="720" w:end="0"/>
        <w:rPr/>
      </w:pPr>
      <w:r>
        <w:rPr/>
        <w:t>Cost of Generation</w:t>
      </w:r>
    </w:p>
    <w:p>
      <w:pPr>
        <w:pStyle w:val="Normal"/>
        <w:rPr>
          <w:b/>
          <w:sz w:val="24"/>
        </w:rPr>
      </w:pPr>
      <w:r>
        <w:rPr>
          <w:b/>
          <w:sz w:val="24"/>
        </w:rPr>
        <w:tab/>
        <w:t>QF Purchases</w:t>
      </w:r>
    </w:p>
    <w:p>
      <w:pPr>
        <w:pStyle w:val="Normal"/>
        <w:ind w:start="720" w:end="0"/>
        <w:rPr>
          <w:b/>
          <w:sz w:val="24"/>
        </w:rPr>
      </w:pPr>
      <w:r>
        <w:rPr>
          <w:b/>
          <w:sz w:val="24"/>
        </w:rPr>
        <w:t>ISO imbalances and real time purchases (estimated initially – then actualized approximately 90 days later)</w:t>
      </w:r>
    </w:p>
    <w:p>
      <w:pPr>
        <w:pStyle w:val="Normal"/>
        <w:rPr>
          <w:b/>
          <w:sz w:val="24"/>
        </w:rPr>
      </w:pPr>
      <w:r>
        <w:rPr>
          <w:b/>
          <w:sz w:val="24"/>
        </w:rPr>
      </w:r>
    </w:p>
    <w:p>
      <w:pPr>
        <w:pStyle w:val="BodyText"/>
        <w:rPr/>
      </w:pPr>
      <w:r>
        <w:rPr>
          <w:color w:val="auto"/>
        </w:rPr>
        <w:t>Purchases on behalf of the utilities/ratepayers by CDWR have not been included in the</w:t>
      </w:r>
      <w:r>
        <w:rPr/>
        <w:t xml:space="preserve"> </w:t>
      </w:r>
      <w:r>
        <w:rPr>
          <w:color w:val="auto"/>
        </w:rPr>
        <w:t>calculation.</w:t>
      </w:r>
    </w:p>
    <w:p>
      <w:pPr>
        <w:pStyle w:val="BodyText"/>
        <w:rPr>
          <w:color w:val="auto"/>
        </w:rPr>
      </w:pPr>
      <w:r>
        <w:rPr>
          <w:color w:val="auto"/>
        </w:rPr>
      </w:r>
    </w:p>
    <w:p>
      <w:pPr>
        <w:pStyle w:val="BodyText"/>
        <w:rPr>
          <w:color w:val="auto"/>
        </w:rPr>
      </w:pPr>
      <w:r>
        <w:rPr>
          <w:color w:val="auto"/>
        </w:rPr>
        <w:t>Issues:</w:t>
      </w:r>
    </w:p>
    <w:p>
      <w:pPr>
        <w:pStyle w:val="BodyText"/>
        <w:rPr>
          <w:color w:val="auto"/>
        </w:rPr>
      </w:pPr>
      <w:r>
        <w:rPr>
          <w:color w:val="auto"/>
        </w:rPr>
      </w:r>
    </w:p>
    <w:p>
      <w:pPr>
        <w:pStyle w:val="BodyText"/>
        <w:numPr>
          <w:ilvl w:val="0"/>
          <w:numId w:val="5"/>
        </w:numPr>
        <w:rPr>
          <w:color w:val="auto"/>
        </w:rPr>
      </w:pPr>
      <w:r>
        <w:rPr>
          <w:color w:val="auto"/>
        </w:rPr>
        <w:t xml:space="preserve">How do these amounts compare to the amounts liquidated?   The PX Credit calculation in the risk books continued to use market indexes (not sure which ones).  This may have resulted in an overstatement of expected credits.     </w:t>
      </w:r>
    </w:p>
    <w:p>
      <w:pPr>
        <w:pStyle w:val="BodyText"/>
        <w:rPr>
          <w:color w:val="auto"/>
        </w:rPr>
      </w:pPr>
      <w:r>
        <w:rPr>
          <w:color w:val="auto"/>
        </w:rPr>
      </w:r>
    </w:p>
    <w:p>
      <w:pPr>
        <w:pStyle w:val="BodyText"/>
        <w:ind w:start="360" w:end="0"/>
        <w:rPr>
          <w:color w:val="auto"/>
        </w:rPr>
      </w:pPr>
      <w:r>
        <w:rPr>
          <w:color w:val="auto"/>
        </w:rPr>
        <w:t>EES should determine the amount of the overstatement, if any.   This exposure would be reflected as accrued but not actualized amounts, and not a PX receivable from SCE and PG&amp;E</w:t>
      </w:r>
    </w:p>
    <w:p>
      <w:pPr>
        <w:pStyle w:val="BodyText"/>
        <w:rPr>
          <w:color w:val="auto"/>
        </w:rPr>
      </w:pPr>
      <w:r>
        <w:rPr>
          <w:color w:val="auto"/>
        </w:rPr>
      </w:r>
    </w:p>
    <w:p>
      <w:pPr>
        <w:pStyle w:val="BodyText"/>
        <w:numPr>
          <w:ilvl w:val="0"/>
          <w:numId w:val="4"/>
        </w:numPr>
        <w:rPr>
          <w:color w:val="auto"/>
        </w:rPr>
      </w:pPr>
      <w:r>
        <w:rPr>
          <w:color w:val="auto"/>
        </w:rPr>
        <w:t xml:space="preserve">Regulatory Affairs and EES need to completely understand the financial impact re the Interim Methodology (i.e. what is the financial impact to EES to include/exclude the CDWR purchases, what is the impact of using a market index vs. the utilities actual purchases, etc.) and develop a regulatory strategy.  Close monitoring and participation in all CPUC hearings will be essential to minimizing the impact from this.  </w:t>
      </w:r>
    </w:p>
    <w:p>
      <w:pPr>
        <w:pStyle w:val="BodyText"/>
        <w:rPr>
          <w:color w:val="auto"/>
        </w:rPr>
      </w:pPr>
      <w:r>
        <w:rPr>
          <w:color w:val="auto"/>
        </w:rPr>
      </w:r>
    </w:p>
    <w:p>
      <w:pPr>
        <w:pStyle w:val="BodyText"/>
        <w:numPr>
          <w:ilvl w:val="0"/>
          <w:numId w:val="2"/>
        </w:numPr>
        <w:rPr>
          <w:color w:val="auto"/>
        </w:rPr>
      </w:pPr>
      <w:r>
        <w:rPr>
          <w:color w:val="auto"/>
        </w:rPr>
        <w:t xml:space="preserve">PG&amp;E bankruptcy receivable claim has been based on the actual credits as invoiced by PG&amp;E.   If EES proposes a different methodology, this amount may need to be adjusted.  </w:t>
      </w:r>
    </w:p>
    <w:p>
      <w:pPr>
        <w:pStyle w:val="BodyText"/>
        <w:rPr>
          <w:color w:val="auto"/>
        </w:rPr>
      </w:pPr>
      <w:r>
        <w:rPr>
          <w:color w:val="auto"/>
        </w:rPr>
      </w:r>
    </w:p>
    <w:p>
      <w:pPr>
        <w:pStyle w:val="BodyText"/>
        <w:rPr>
          <w:color w:val="auto"/>
        </w:rPr>
      </w:pPr>
      <w:r>
        <w:rPr>
          <w:color w:val="auto"/>
        </w:rPr>
      </w:r>
    </w:p>
    <w:p>
      <w:pPr>
        <w:pStyle w:val="BodyText"/>
        <w:rPr>
          <w:color w:val="auto"/>
        </w:rPr>
      </w:pPr>
      <w:r>
        <w:rPr>
          <w:color w:val="auto"/>
        </w:rPr>
        <w:t xml:space="preserve"> </w:t>
      </w:r>
    </w:p>
    <w:p>
      <w:pPr>
        <w:pStyle w:val="BodyText"/>
        <w:rPr>
          <w:color w:val="auto"/>
        </w:rPr>
      </w:pPr>
      <w:r>
        <w:rPr>
          <w:color w:val="auto"/>
        </w:rPr>
      </w:r>
    </w:p>
    <w:p>
      <w:pPr>
        <w:pStyle w:val="BodyText"/>
        <w:rPr>
          <w:color w:val="auto"/>
        </w:rPr>
      </w:pPr>
      <w:r>
        <w:rPr>
          <w:color w:val="auto"/>
        </w:rPr>
      </w:r>
    </w:p>
    <w:p>
      <w:pPr>
        <w:pStyle w:val="BodyText"/>
        <w:rPr>
          <w:color w:val="auto"/>
        </w:rPr>
      </w:pPr>
      <w:r>
        <w:rPr>
          <w:color w:val="auto"/>
        </w:rPr>
      </w:r>
    </w:p>
    <w:p>
      <w:pPr>
        <w:pStyle w:val="Normal"/>
        <w:rPr>
          <w:b/>
          <w:color w:val="auto"/>
          <w:sz w:val="24"/>
        </w:rPr>
      </w:pPr>
      <w:r>
        <w:rPr>
          <w:b/>
          <w:color w:val="auto"/>
          <w:sz w:val="24"/>
        </w:rPr>
      </w:r>
    </w:p>
    <w:p>
      <w:pPr>
        <w:pStyle w:val="Normal"/>
        <w:numPr>
          <w:ilvl w:val="0"/>
          <w:numId w:val="3"/>
        </w:numPr>
        <w:rPr>
          <w:b/>
          <w:sz w:val="28"/>
        </w:rPr>
      </w:pPr>
      <w:r>
        <w:rPr>
          <w:b/>
          <w:sz w:val="28"/>
        </w:rPr>
        <w:t>SCE -  MOU and CPUC Proposal  (Proposed effective date January 19, 2001)</w:t>
      </w:r>
    </w:p>
    <w:p>
      <w:pPr>
        <w:pStyle w:val="Normal"/>
        <w:rPr>
          <w:b/>
          <w:sz w:val="24"/>
        </w:rPr>
      </w:pPr>
      <w:r>
        <w:rPr>
          <w:b/>
          <w:sz w:val="24"/>
        </w:rPr>
      </w:r>
    </w:p>
    <w:p>
      <w:pPr>
        <w:pStyle w:val="Normal"/>
        <w:rPr>
          <w:b/>
          <w:sz w:val="28"/>
        </w:rPr>
      </w:pPr>
      <w:r>
        <w:rPr>
          <w:b/>
          <w:sz w:val="24"/>
        </w:rPr>
        <w:t>Background:</w:t>
      </w:r>
    </w:p>
    <w:p>
      <w:pPr>
        <w:pStyle w:val="Heading3"/>
        <w:ind w:hanging="0" w:start="0"/>
        <w:rPr/>
      </w:pPr>
      <w:r>
        <w:rPr/>
        <w:t xml:space="preserve">SCE requested EES review their proposal for a new PE (procured energy) Credit.  They provided files containing the PX Credit calculated through April 20, 2001 for our review.  This same file contained a high level summary of the proposed PE Credit.  </w:t>
      </w:r>
    </w:p>
    <w:p>
      <w:pPr>
        <w:pStyle w:val="Normal"/>
        <w:rPr>
          <w:b/>
          <w:sz w:val="24"/>
        </w:rPr>
      </w:pPr>
      <w:r>
        <w:rPr>
          <w:b/>
          <w:sz w:val="24"/>
        </w:rPr>
      </w:r>
    </w:p>
    <w:p>
      <w:pPr>
        <w:pStyle w:val="Normal"/>
        <w:rPr>
          <w:b/>
          <w:sz w:val="24"/>
        </w:rPr>
      </w:pPr>
      <w:r>
        <w:object w:dxaOrig="11873" w:dyaOrig="172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68.4pt;margin-top:22.4pt;width:555.4pt;height:90.25pt;mso-wrap-distance-left:9.05pt;mso-wrap-distance-right:9.05pt;mso-position-horizontal-relative:text;mso-position-vertical-relative:text" filled="f" o:ole="">
            <v:imagedata r:id="rId3" o:title=""/>
            <w10:wrap type="topAndBottom"/>
          </v:shape>
          <o:OLEObject Type="Embed" ProgID="Excel.Sheet.12" ShapeID="ole_rId2" DrawAspect="Content" ObjectID="_518208866" r:id="rId2"/>
        </w:object>
      </w:r>
      <w:r>
        <w:rPr>
          <w:b/>
          <w:sz w:val="24"/>
        </w:rPr>
        <w:t>The PX Credit amounts were presented as follows:</w:t>
      </w:r>
    </w:p>
    <w:p>
      <w:pPr>
        <w:pStyle w:val="Normal"/>
        <w:rPr>
          <w:b/>
          <w:sz w:val="24"/>
        </w:rPr>
      </w:pPr>
      <w:r>
        <w:rPr>
          <w:b/>
          <w:sz w:val="24"/>
        </w:rPr>
      </w:r>
    </w:p>
    <w:p>
      <w:pPr>
        <w:pStyle w:val="Normal"/>
        <w:rPr>
          <w:b/>
          <w:sz w:val="24"/>
        </w:rPr>
      </w:pPr>
      <w:r>
        <w:rPr>
          <w:b/>
          <w:sz w:val="24"/>
        </w:rPr>
      </w:r>
    </w:p>
    <w:p>
      <w:pPr>
        <w:pStyle w:val="Normal"/>
        <w:rPr>
          <w:b/>
          <w:sz w:val="24"/>
        </w:rPr>
      </w:pPr>
      <w:r>
        <w:rPr>
          <w:b/>
          <w:sz w:val="24"/>
        </w:rPr>
        <w:t xml:space="preserve">After two phone conferences with SCE, it became apparent that the intent of the proposal was to eliminate the PX Credit effective January 19, 2001.   ESP’s would be charged for T&amp;D only.  The estimated impact to Enron is $116.4 MM.   SCE should provide additional schedules to EES this week to further confirm the above listed amounts. </w:t>
      </w:r>
    </w:p>
    <w:p>
      <w:pPr>
        <w:pStyle w:val="Normal"/>
        <w:rPr>
          <w:b/>
          <w:sz w:val="24"/>
        </w:rPr>
      </w:pPr>
      <w:r>
        <w:rPr>
          <w:b/>
          <w:sz w:val="24"/>
        </w:rPr>
      </w:r>
    </w:p>
    <w:p>
      <w:pPr>
        <w:pStyle w:val="Normal"/>
        <w:rPr>
          <w:b/>
          <w:sz w:val="24"/>
        </w:rPr>
      </w:pPr>
      <w:r>
        <w:rPr>
          <w:b/>
          <w:sz w:val="24"/>
        </w:rPr>
        <w:t xml:space="preserve">Diann Huddleson will work to determine the gross PX Credit amounts processed to date for both SCE and PG&amp;E.   This will then be compared to the information we requested from SCE.   The PX Credit amounts represented to date have been net of T&amp;D.  If SCE and PG&amp;E are successful in eliminating the PX Credit retroactive to January 19, 2001, Enron’s financial exposure is significantly larger than the net credit exposure that has been calculated.  </w:t>
      </w:r>
    </w:p>
    <w:p>
      <w:pPr>
        <w:pStyle w:val="Normal"/>
        <w:rPr>
          <w:b/>
          <w:sz w:val="24"/>
        </w:rPr>
      </w:pPr>
      <w:r>
        <w:rPr>
          <w:b/>
          <w:sz w:val="24"/>
        </w:rPr>
      </w:r>
    </w:p>
    <w:p>
      <w:pPr>
        <w:pStyle w:val="Normal"/>
        <w:rPr>
          <w:b/>
          <w:sz w:val="24"/>
        </w:rPr>
      </w:pPr>
      <w:r>
        <w:rPr>
          <w:b/>
          <w:sz w:val="24"/>
        </w:rPr>
        <w:t xml:space="preserve">This issue re netting has been raised with credit, and identified as an increased risk in bankruptcy.  Should the court require EES pay T&amp;D and not allow an offset for PX Credits, EES exposure would increase significantly.  </w:t>
      </w:r>
    </w:p>
    <w:p>
      <w:pPr>
        <w:pStyle w:val="Normal"/>
        <w:rPr>
          <w:b/>
          <w:sz w:val="24"/>
        </w:rPr>
      </w:pPr>
      <w:r>
        <w:rPr>
          <w:b/>
          <w:sz w:val="24"/>
        </w:rPr>
      </w:r>
    </w:p>
    <w:p>
      <w:pPr>
        <w:pStyle w:val="Normal"/>
        <w:rPr>
          <w:b/>
          <w:sz w:val="24"/>
        </w:rPr>
      </w:pPr>
      <w:r>
        <w:rPr>
          <w:b/>
          <w:sz w:val="24"/>
        </w:rPr>
        <w:t>Below is a simplified example of the proposed change:</w:t>
      </w:r>
    </w:p>
    <w:p>
      <w:pPr>
        <w:pStyle w:val="Normal"/>
        <w:rPr>
          <w:b/>
          <w:sz w:val="24"/>
        </w:rPr>
      </w:pPr>
      <w:r>
        <w:rPr>
          <w:b/>
          <w:sz w:val="24"/>
        </w:rPr>
        <w:tab/>
        <w:tab/>
        <w:tab/>
        <w:tab/>
        <w:tab/>
        <w:t xml:space="preserve">      As Billed </w:t>
        <w:tab/>
        <w:tab/>
        <w:t xml:space="preserve"> As Proposed </w:t>
        <w:tab/>
      </w:r>
    </w:p>
    <w:p>
      <w:pPr>
        <w:pStyle w:val="Normal"/>
        <w:rPr>
          <w:b/>
          <w:sz w:val="24"/>
        </w:rPr>
      </w:pPr>
      <w:r>
        <w:rPr>
          <w:b/>
          <w:sz w:val="24"/>
        </w:rPr>
      </w:r>
    </w:p>
    <w:p>
      <w:pPr>
        <w:pStyle w:val="Heading3"/>
        <w:ind w:hanging="0" w:start="0"/>
        <w:rPr/>
      </w:pPr>
      <w:r>
        <w:rPr/>
        <w:t>Generation Embedded in Tariff</w:t>
        <w:tab/>
        <w:tab/>
        <w:t>60.0</w:t>
        <w:tab/>
        <w:tab/>
        <w:t xml:space="preserve">       60.0</w:t>
      </w:r>
    </w:p>
    <w:p>
      <w:pPr>
        <w:pStyle w:val="Normal"/>
        <w:rPr>
          <w:b/>
          <w:sz w:val="24"/>
        </w:rPr>
      </w:pPr>
      <w:r>
        <w:rPr>
          <w:b/>
          <w:sz w:val="24"/>
        </w:rPr>
        <w:t xml:space="preserve">Transportation and Distribution </w:t>
        <w:tab/>
        <w:tab/>
      </w:r>
      <w:r>
        <w:rPr>
          <w:b/>
          <w:sz w:val="24"/>
          <w:u w:val="single"/>
        </w:rPr>
        <w:t>40.0</w:t>
      </w:r>
      <w:r>
        <w:rPr>
          <w:b/>
          <w:sz w:val="24"/>
        </w:rPr>
        <w:t xml:space="preserve">                        </w:t>
      </w:r>
      <w:r>
        <w:rPr>
          <w:b/>
          <w:sz w:val="24"/>
          <w:u w:val="single"/>
        </w:rPr>
        <w:t>40.0</w:t>
      </w:r>
    </w:p>
    <w:p>
      <w:pPr>
        <w:pStyle w:val="Heading3"/>
        <w:ind w:hanging="0" w:start="0"/>
        <w:rPr/>
      </w:pPr>
      <w:r>
        <w:rPr/>
        <w:t>Total Utility Bill Before PX Credit</w:t>
        <w:tab/>
      </w:r>
      <w:r>
        <w:rPr>
          <w:b w:val="false"/>
        </w:rPr>
        <w:t xml:space="preserve">   </w:t>
      </w:r>
      <w:r>
        <w:rPr/>
        <w:t xml:space="preserve">       100.0</w:t>
        <w:tab/>
        <w:tab/>
        <w:t xml:space="preserve">     100.0 </w:t>
      </w:r>
    </w:p>
    <w:p>
      <w:pPr>
        <w:pStyle w:val="Heading3"/>
        <w:ind w:hanging="0" w:start="0"/>
        <w:rPr>
          <w:b w:val="false"/>
        </w:rPr>
      </w:pPr>
      <w:r>
        <w:rPr/>
        <w:t xml:space="preserve">PX Credit Received </w:t>
        <w:tab/>
        <w:tab/>
        <w:tab/>
        <w:t xml:space="preserve">         </w:t>
      </w:r>
      <w:r>
        <w:rPr>
          <w:u w:val="single"/>
        </w:rPr>
        <w:t>(160.0)</w:t>
      </w:r>
      <w:r>
        <w:rPr/>
        <w:tab/>
        <w:tab/>
        <w:t xml:space="preserve">      </w:t>
      </w:r>
      <w:r>
        <w:rPr>
          <w:u w:val="single"/>
        </w:rPr>
        <w:t>(60.0)</w:t>
      </w:r>
      <w:r>
        <w:rPr/>
        <w:t>*</w:t>
      </w:r>
    </w:p>
    <w:p>
      <w:pPr>
        <w:pStyle w:val="Heading3"/>
        <w:ind w:hanging="0" w:start="0"/>
        <w:rPr/>
      </w:pPr>
      <w:r>
        <w:rPr/>
        <w:t xml:space="preserve">Net Utility Bill </w:t>
        <w:tab/>
        <w:tab/>
        <w:tab/>
        <w:t xml:space="preserve">           (60.0)</w:t>
        <w:tab/>
        <w:tab/>
        <w:t xml:space="preserve">        40.0</w:t>
        <w:tab/>
        <w:tab/>
      </w:r>
    </w:p>
    <w:p>
      <w:pPr>
        <w:pStyle w:val="Normal"/>
        <w:rPr>
          <w:b/>
          <w:sz w:val="24"/>
        </w:rPr>
      </w:pPr>
      <w:r>
        <w:rPr>
          <w:b/>
          <w:sz w:val="24"/>
        </w:rPr>
        <w:t xml:space="preserve">*This would become a generation credit only.  </w:t>
      </w:r>
    </w:p>
    <w:p>
      <w:pPr>
        <w:pStyle w:val="Normal"/>
        <w:rPr>
          <w:b/>
          <w:sz w:val="28"/>
        </w:rPr>
      </w:pPr>
      <w:r>
        <w:rPr>
          <w:b/>
          <w:sz w:val="28"/>
        </w:rPr>
      </w:r>
    </w:p>
    <w:p>
      <w:pPr>
        <w:pStyle w:val="Normal"/>
        <w:numPr>
          <w:ilvl w:val="0"/>
          <w:numId w:val="3"/>
        </w:numPr>
        <w:rPr>
          <w:b/>
          <w:sz w:val="28"/>
        </w:rPr>
      </w:pPr>
      <w:r>
        <w:rPr>
          <w:b/>
          <w:sz w:val="28"/>
        </w:rPr>
        <w:t>Forward Exposure</w:t>
      </w:r>
    </w:p>
    <w:p>
      <w:pPr>
        <w:pStyle w:val="Normal"/>
        <w:rPr>
          <w:b/>
          <w:sz w:val="28"/>
        </w:rPr>
      </w:pPr>
      <w:r>
        <w:rPr>
          <w:b/>
          <w:sz w:val="28"/>
        </w:rPr>
      </w:r>
    </w:p>
    <w:p>
      <w:pPr>
        <w:pStyle w:val="Normal"/>
        <w:rPr>
          <w:b/>
          <w:sz w:val="24"/>
        </w:rPr>
      </w:pPr>
      <w:r>
        <w:rPr>
          <w:b/>
          <w:sz w:val="24"/>
        </w:rPr>
        <w:t>Background:</w:t>
      </w:r>
    </w:p>
    <w:p>
      <w:pPr>
        <w:pStyle w:val="Heading3"/>
        <w:ind w:hanging="0" w:start="0"/>
        <w:rPr/>
      </w:pPr>
      <w:r>
        <w:rPr/>
        <w:t>Effective February 1</w:t>
      </w:r>
      <w:r>
        <w:rPr>
          <w:vertAlign w:val="superscript"/>
        </w:rPr>
        <w:t>st</w:t>
      </w:r>
      <w:r>
        <w:rPr/>
        <w:t>, all PG&amp;E utility accounts were returned to bundled utility service, with the exception of IBM and residential.</w:t>
      </w:r>
    </w:p>
    <w:p>
      <w:pPr>
        <w:pStyle w:val="Normal"/>
        <w:rPr>
          <w:b/>
          <w:sz w:val="24"/>
        </w:rPr>
      </w:pPr>
      <w:r>
        <w:rPr>
          <w:b/>
          <w:sz w:val="24"/>
        </w:rPr>
      </w:r>
    </w:p>
    <w:p>
      <w:pPr>
        <w:pStyle w:val="Normal"/>
        <w:rPr>
          <w:b/>
          <w:sz w:val="24"/>
        </w:rPr>
      </w:pPr>
      <w:r>
        <w:rPr>
          <w:b/>
          <w:sz w:val="24"/>
        </w:rPr>
        <w:t>SCE utility accounts were returned to bundled utility service and became effective on various dates throughout February and March.   The exception to this remains residential.</w:t>
      </w:r>
    </w:p>
    <w:p>
      <w:pPr>
        <w:pStyle w:val="Normal"/>
        <w:rPr>
          <w:b/>
          <w:sz w:val="24"/>
        </w:rPr>
      </w:pPr>
      <w:r>
        <w:rPr>
          <w:b/>
          <w:sz w:val="24"/>
        </w:rPr>
      </w:r>
    </w:p>
    <w:p>
      <w:pPr>
        <w:pStyle w:val="Normal"/>
        <w:rPr>
          <w:b/>
          <w:sz w:val="24"/>
        </w:rPr>
      </w:pPr>
      <w:r>
        <w:rPr>
          <w:b/>
          <w:sz w:val="24"/>
        </w:rPr>
        <w:t xml:space="preserve">The historical exposure ranged from a high of $180,608,863 for Jan 01 to a low of $5,047,144 for March 01.  These exposures are net credit exposures and not the gross PX credit.  </w:t>
      </w:r>
    </w:p>
    <w:p>
      <w:pPr>
        <w:pStyle w:val="Normal"/>
        <w:rPr>
          <w:b/>
          <w:sz w:val="24"/>
        </w:rPr>
      </w:pPr>
      <w:r>
        <w:rPr>
          <w:b/>
          <w:sz w:val="24"/>
        </w:rPr>
      </w:r>
    </w:p>
    <w:p>
      <w:pPr>
        <w:pStyle w:val="Normal"/>
        <w:rPr>
          <w:b/>
          <w:sz w:val="24"/>
        </w:rPr>
      </w:pPr>
      <w:r>
        <w:rPr>
          <w:b/>
          <w:sz w:val="24"/>
        </w:rPr>
        <w:t>EES has processed the requests to return IBM to utility bundled service, which should become effective June 1, 2001.</w:t>
      </w:r>
    </w:p>
    <w:p>
      <w:pPr>
        <w:pStyle w:val="Normal"/>
        <w:rPr>
          <w:b/>
          <w:sz w:val="24"/>
        </w:rPr>
      </w:pPr>
      <w:r>
        <w:rPr>
          <w:b/>
          <w:sz w:val="24"/>
        </w:rPr>
      </w:r>
    </w:p>
    <w:p>
      <w:pPr>
        <w:pStyle w:val="Normal"/>
        <w:rPr>
          <w:b/>
          <w:sz w:val="24"/>
        </w:rPr>
      </w:pPr>
      <w:r>
        <w:rPr>
          <w:b/>
          <w:sz w:val="24"/>
        </w:rPr>
        <w:t xml:space="preserve">UC/CSU initially prevailed in court re their request for EES to return their accounts back to direct access service.   EES has now been allowed to return UC/CSU to bundled utility service.   If EES continues to prevail on this issue, the only remaining forward exposure for PX Credit is for the residential load. </w:t>
      </w:r>
    </w:p>
    <w:p>
      <w:pPr>
        <w:pStyle w:val="Normal"/>
        <w:rPr>
          <w:b/>
          <w:sz w:val="24"/>
        </w:rPr>
      </w:pPr>
      <w:r>
        <w:rPr>
          <w:b/>
          <w:sz w:val="24"/>
        </w:rPr>
      </w:r>
    </w:p>
    <w:p>
      <w:pPr>
        <w:pStyle w:val="Normal"/>
        <w:rPr/>
      </w:pPr>
      <w:r>
        <w:rPr>
          <w:b/>
          <w:sz w:val="24"/>
        </w:rPr>
        <w:t>EES is not prepared to invoice residential customers in the event of a tariff change vs. a surcharge.  These customers were to have moved to TNPC effective no later than May 31</w:t>
      </w:r>
      <w:r>
        <w:rPr>
          <w:b/>
          <w:sz w:val="24"/>
          <w:vertAlign w:val="superscript"/>
        </w:rPr>
        <w:t>st</w:t>
      </w:r>
      <w:r>
        <w:rPr>
          <w:b/>
          <w:sz w:val="24"/>
        </w:rPr>
        <w:t xml:space="preserve">.   A decision re these residential contracts and service levels needs to be made ASAP. </w:t>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ind w:firstLine="720" w:start="0" w:end="0"/>
      <w:outlineLvl w:val="1"/>
    </w:pPr>
    <w:rPr>
      <w:b/>
      <w:sz w:val="24"/>
    </w:rPr>
  </w:style>
  <w:style w:type="paragraph" w:styleId="Heading3">
    <w:name w:val="heading 3"/>
    <w:basedOn w:val="Normal"/>
    <w:next w:val="Normal"/>
    <w:qFormat/>
    <w:pPr>
      <w:keepNext w:val="true"/>
      <w:numPr>
        <w:ilvl w:val="2"/>
        <w:numId w:val="1"/>
      </w:numPr>
      <w:outlineLvl w:val="2"/>
    </w:pPr>
    <w:rPr>
      <w:b/>
      <w:sz w:val="24"/>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32"/>
    </w:rPr>
  </w:style>
  <w:style w:type="paragraph" w:styleId="BodyText">
    <w:name w:val="Body Text"/>
    <w:basedOn w:val="Normal"/>
    <w:pPr/>
    <w:rPr>
      <w:b/>
      <w:color w:val="FF00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2001-05-07T12:51:00Z</dcterms:created>
  <dc:creator>wcurry</dc:creator>
  <dc:description/>
  <dc:language>en-CA</dc:language>
  <cp:lastModifiedBy>wcurry</cp:lastModifiedBy>
  <cp:lastPrinted>2001-05-07T16:35:00Z</cp:lastPrinted>
  <dcterms:modified xsi:type="dcterms:W3CDTF">2001-05-07T19:10:00Z</dcterms:modified>
  <cp:revision>10</cp:revision>
  <dc:subject/>
  <dc:title>PX Credits</dc:title>
</cp:coreProperties>
</file>