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Scenario 1:</w:t>
        <w:tab/>
        <w:t>CPUC DENIES TURN PETITION—No Netting of Accounts</w:t>
      </w:r>
    </w:p>
    <w:p>
      <w:pPr>
        <w:pStyle w:val="Normal"/>
        <w:rPr>
          <w:sz w:val="20"/>
        </w:rPr>
      </w:pPr>
      <w:r>
        <w:rPr>
          <w:sz w:val="20"/>
        </w:rPr>
      </w:r>
    </w:p>
    <w:p>
      <w:pPr>
        <w:pStyle w:val="Normal"/>
        <w:rPr>
          <w:i/>
          <w:i/>
          <w:iCs/>
          <w:sz w:val="20"/>
        </w:rPr>
      </w:pPr>
      <w:r>
        <w:rPr>
          <w:i/>
          <w:iCs/>
          <w:sz w:val="20"/>
        </w:rPr>
        <w:t>Overall Scenario Probability =</w:t>
        <w:tab/>
        <w:tab/>
        <w:tab/>
        <w:tab/>
        <w:tab/>
        <w:tab/>
        <w:tab/>
        <w:tab/>
        <w:t>10%</w:t>
      </w:r>
    </w:p>
    <w:p>
      <w:pPr>
        <w:pStyle w:val="Normal"/>
        <w:rPr>
          <w:i/>
          <w:i/>
          <w:iCs/>
          <w:sz w:val="20"/>
        </w:rPr>
      </w:pPr>
      <w:r>
        <w:rPr>
          <w:i/>
          <w:iCs/>
          <w:sz w:val="20"/>
        </w:rPr>
        <w:t>Overall Expected Exposure—10% rate increase  (Credit + Rate Exposure) =</w:t>
        <w:tab/>
        <w:tab/>
        <w:tab/>
        <w:t>$???</w:t>
        <w:tab/>
      </w:r>
    </w:p>
    <w:p>
      <w:pPr>
        <w:pStyle w:val="Normal"/>
        <w:rPr>
          <w:i/>
          <w:i/>
          <w:iCs/>
          <w:sz w:val="20"/>
        </w:rPr>
      </w:pPr>
      <w:r>
        <w:rPr>
          <w:i/>
          <w:iCs/>
          <w:sz w:val="20"/>
        </w:rPr>
        <w:t>Overall Expected Exposure—20% rate increase  (Credit + Rate Exposure) =</w:t>
        <w:tab/>
        <w:tab/>
        <w:tab/>
        <w:t>$???</w:t>
        <w:tab/>
      </w:r>
    </w:p>
    <w:p>
      <w:pPr>
        <w:pStyle w:val="Normal"/>
        <w:rPr>
          <w:i/>
          <w:i/>
          <w:iCs/>
          <w:sz w:val="20"/>
        </w:rPr>
      </w:pPr>
      <w:r>
        <w:rPr>
          <w:i/>
          <w:iCs/>
          <w:sz w:val="20"/>
        </w:rPr>
      </w:r>
    </w:p>
    <w:p>
      <w:pPr>
        <w:pStyle w:val="Normal"/>
        <w:rPr>
          <w:sz w:val="20"/>
        </w:rPr>
      </w:pPr>
      <w:r>
        <w:rPr>
          <w:sz w:val="20"/>
        </w:rPr>
      </w:r>
    </w:p>
    <w:p>
      <w:pPr>
        <w:pStyle w:val="Normal"/>
        <w:numPr>
          <w:ilvl w:val="0"/>
          <w:numId w:val="4"/>
        </w:numPr>
        <w:rPr>
          <w:sz w:val="20"/>
        </w:rPr>
      </w:pPr>
      <w:r>
        <w:rPr>
          <w:b/>
          <w:bCs/>
          <w:sz w:val="20"/>
        </w:rPr>
        <w:t>Freeze ends, but when?  Depends on value of utility retained generation assets.</w:t>
      </w:r>
    </w:p>
    <w:p>
      <w:pPr>
        <w:pStyle w:val="Normal"/>
        <w:numPr>
          <w:ilvl w:val="1"/>
          <w:numId w:val="4"/>
        </w:numPr>
        <w:tabs>
          <w:tab w:val="clear" w:pos="720"/>
        </w:tabs>
        <w:ind w:hanging="360" w:start="720" w:end="0"/>
        <w:rPr>
          <w:sz w:val="20"/>
        </w:rPr>
      </w:pPr>
      <w:r>
        <w:rPr>
          <w:sz w:val="20"/>
        </w:rPr>
        <w:t xml:space="preserve">PUC Values Generation </w:t>
      </w:r>
    </w:p>
    <w:p>
      <w:pPr>
        <w:pStyle w:val="Normal"/>
        <w:numPr>
          <w:ilvl w:val="2"/>
          <w:numId w:val="4"/>
        </w:numPr>
        <w:tabs>
          <w:tab w:val="clear" w:pos="720"/>
        </w:tabs>
        <w:ind w:hanging="360" w:start="1080" w:end="0"/>
        <w:rPr>
          <w:sz w:val="20"/>
        </w:rPr>
      </w:pPr>
      <w:r>
        <w:rPr>
          <w:sz w:val="20"/>
        </w:rPr>
        <w:t xml:space="preserve">at net book </w:t>
        <w:tab/>
        <w:t>(implies rate freeze ends on 01.01)</w:t>
        <w:tab/>
        <w:tab/>
        <w:tab/>
        <w:tab/>
        <w:t>prob. = 90%</w:t>
      </w:r>
    </w:p>
    <w:p>
      <w:pPr>
        <w:pStyle w:val="Normal"/>
        <w:numPr>
          <w:ilvl w:val="2"/>
          <w:numId w:val="4"/>
        </w:numPr>
        <w:tabs>
          <w:tab w:val="clear" w:pos="720"/>
        </w:tabs>
        <w:ind w:hanging="360" w:start="1080" w:end="0"/>
        <w:rPr>
          <w:sz w:val="20"/>
        </w:rPr>
      </w:pPr>
      <w:r>
        <w:rPr>
          <w:sz w:val="20"/>
        </w:rPr>
        <w:t>at $2.8B</w:t>
        <w:tab/>
        <w:t xml:space="preserve">(implies rate freeze ends on 08.00) </w:t>
        <w:tab/>
        <w:tab/>
        <w:tab/>
        <w:tab/>
        <w:t>prob. = 5%</w:t>
      </w:r>
    </w:p>
    <w:p>
      <w:pPr>
        <w:pStyle w:val="Normal"/>
        <w:numPr>
          <w:ilvl w:val="2"/>
          <w:numId w:val="4"/>
        </w:numPr>
        <w:tabs>
          <w:tab w:val="clear" w:pos="720"/>
        </w:tabs>
        <w:ind w:hanging="360" w:start="1080" w:end="0"/>
        <w:rPr>
          <w:sz w:val="20"/>
        </w:rPr>
      </w:pPr>
      <w:r>
        <w:rPr>
          <w:sz w:val="20"/>
        </w:rPr>
        <w:t>at $4.0B</w:t>
        <w:tab/>
        <w:t>(implies rate freeze ends on 05.00)</w:t>
        <w:tab/>
        <w:tab/>
        <w:tab/>
        <w:tab/>
        <w:t xml:space="preserve">prob. = 5% </w:t>
        <w:tab/>
      </w:r>
    </w:p>
    <w:p>
      <w:pPr>
        <w:pStyle w:val="Normal"/>
        <w:rPr>
          <w:sz w:val="20"/>
        </w:rPr>
      </w:pPr>
      <w:r>
        <w:rPr>
          <w:sz w:val="20"/>
        </w:rPr>
      </w:r>
    </w:p>
    <w:p>
      <w:pPr>
        <w:pStyle w:val="Heading3"/>
        <w:ind w:hanging="0" w:start="0"/>
        <w:rPr/>
      </w:pPr>
      <w:r>
        <w:rPr/>
        <w:t>PX Credit exposure =</w:t>
      </w:r>
    </w:p>
    <w:p>
      <w:pPr>
        <w:pStyle w:val="Normal"/>
        <w:rPr>
          <w:sz w:val="20"/>
        </w:rPr>
      </w:pPr>
      <w:r>
        <w:rPr>
          <w:sz w:val="20"/>
        </w:rPr>
      </w:r>
    </w:p>
    <w:p>
      <w:pPr>
        <w:pStyle w:val="Normal"/>
        <w:numPr>
          <w:ilvl w:val="0"/>
          <w:numId w:val="2"/>
        </w:numPr>
        <w:rPr>
          <w:b/>
          <w:bCs/>
          <w:sz w:val="20"/>
        </w:rPr>
      </w:pPr>
      <w:r>
        <w:rPr>
          <w:b/>
          <w:bCs/>
          <w:sz w:val="20"/>
        </w:rPr>
        <w:t>PUC must decide whether end of freeze can be retroactive</w:t>
      </w:r>
    </w:p>
    <w:p>
      <w:pPr>
        <w:pStyle w:val="Normal"/>
        <w:numPr>
          <w:ilvl w:val="1"/>
          <w:numId w:val="2"/>
        </w:numPr>
        <w:tabs>
          <w:tab w:val="clear" w:pos="720"/>
        </w:tabs>
        <w:ind w:hanging="360" w:start="720" w:end="0"/>
        <w:rPr>
          <w:sz w:val="20"/>
        </w:rPr>
      </w:pPr>
      <w:r>
        <w:rPr>
          <w:i/>
          <w:iCs/>
          <w:sz w:val="20"/>
        </w:rPr>
        <w:t>Can</w:t>
      </w:r>
      <w:r>
        <w:rPr>
          <w:sz w:val="20"/>
        </w:rPr>
        <w:t xml:space="preserve"> set roll off date before date of decision (03.27.01)</w:t>
        <w:tab/>
        <w:tab/>
        <w:tab/>
        <w:t>prob. = 40%</w:t>
      </w:r>
    </w:p>
    <w:p>
      <w:pPr>
        <w:pStyle w:val="Normal"/>
        <w:numPr>
          <w:ilvl w:val="1"/>
          <w:numId w:val="2"/>
        </w:numPr>
        <w:tabs>
          <w:tab w:val="clear" w:pos="720"/>
        </w:tabs>
        <w:ind w:hanging="360" w:start="720" w:end="0"/>
        <w:rPr>
          <w:sz w:val="20"/>
        </w:rPr>
      </w:pPr>
      <w:r>
        <w:rPr>
          <w:i/>
          <w:iCs/>
          <w:sz w:val="20"/>
        </w:rPr>
        <w:t>Cannot</w:t>
      </w:r>
      <w:r>
        <w:rPr>
          <w:sz w:val="20"/>
        </w:rPr>
        <w:t xml:space="preserve"> set roll off date before date of decision (03.27.01)</w:t>
        <w:tab/>
        <w:tab/>
        <w:tab/>
        <w:t>prob. = 60%</w:t>
      </w:r>
    </w:p>
    <w:p>
      <w:pPr>
        <w:pStyle w:val="Normal"/>
        <w:ind w:start="720" w:end="0"/>
        <w:rPr>
          <w:sz w:val="20"/>
        </w:rPr>
      </w:pPr>
      <w:r>
        <w:rPr>
          <w:sz w:val="20"/>
        </w:rPr>
      </w:r>
    </w:p>
    <w:p>
      <w:pPr>
        <w:pStyle w:val="Heading3"/>
        <w:ind w:hanging="0" w:start="0"/>
        <w:rPr/>
      </w:pPr>
      <w:r>
        <w:rPr/>
        <w:t xml:space="preserve">PX Credit exposure = </w:t>
      </w:r>
    </w:p>
    <w:p>
      <w:pPr>
        <w:pStyle w:val="Normal"/>
        <w:numPr>
          <w:ilvl w:val="0"/>
          <w:numId w:val="3"/>
        </w:numPr>
        <w:tabs>
          <w:tab w:val="clear" w:pos="720"/>
        </w:tabs>
        <w:ind w:hanging="360" w:start="1080" w:end="0"/>
        <w:rPr>
          <w:sz w:val="20"/>
        </w:rPr>
      </w:pPr>
      <w:r>
        <w:rPr>
          <w:sz w:val="20"/>
        </w:rPr>
        <w:t xml:space="preserve">Exposure if PUC sides with retroactivity </w:t>
        <w:tab/>
        <w:t>=</w:t>
      </w:r>
    </w:p>
    <w:p>
      <w:pPr>
        <w:pStyle w:val="Normal"/>
        <w:numPr>
          <w:ilvl w:val="0"/>
          <w:numId w:val="3"/>
        </w:numPr>
        <w:tabs>
          <w:tab w:val="clear" w:pos="720"/>
        </w:tabs>
        <w:ind w:hanging="360" w:start="1080" w:end="0"/>
        <w:rPr>
          <w:sz w:val="20"/>
        </w:rPr>
      </w:pPr>
      <w:r>
        <w:rPr>
          <w:sz w:val="20"/>
        </w:rPr>
        <w:t>Exposure if PUC sides against retroactivity</w:t>
        <w:tab/>
        <w:t>=</w:t>
      </w:r>
    </w:p>
    <w:p>
      <w:pPr>
        <w:pStyle w:val="Normal"/>
        <w:rPr>
          <w:sz w:val="20"/>
        </w:rPr>
      </w:pPr>
      <w:r>
        <w:rPr>
          <w:sz w:val="20"/>
        </w:rPr>
      </w:r>
    </w:p>
    <w:p>
      <w:pPr>
        <w:pStyle w:val="Normal"/>
        <w:rPr>
          <w:sz w:val="20"/>
        </w:rPr>
      </w:pPr>
      <w:r>
        <w:rPr>
          <w:sz w:val="20"/>
        </w:rPr>
      </w:r>
    </w:p>
    <w:p>
      <w:pPr>
        <w:pStyle w:val="Normal"/>
        <w:numPr>
          <w:ilvl w:val="0"/>
          <w:numId w:val="2"/>
        </w:numPr>
        <w:rPr>
          <w:b/>
          <w:bCs/>
          <w:sz w:val="20"/>
        </w:rPr>
      </w:pPr>
      <w:r>
        <w:rPr>
          <w:b/>
          <w:bCs/>
          <w:sz w:val="20"/>
        </w:rPr>
        <w:t>PUC addresses PX credit issue in context of Enron complaint against IOUs</w:t>
      </w:r>
    </w:p>
    <w:p>
      <w:pPr>
        <w:pStyle w:val="Normal"/>
        <w:numPr>
          <w:ilvl w:val="1"/>
          <w:numId w:val="2"/>
        </w:numPr>
        <w:tabs>
          <w:tab w:val="clear" w:pos="720"/>
        </w:tabs>
        <w:ind w:hanging="360" w:start="720" w:end="0"/>
        <w:rPr>
          <w:sz w:val="20"/>
        </w:rPr>
      </w:pPr>
      <w:r>
        <w:rPr>
          <w:sz w:val="20"/>
        </w:rPr>
        <w:t>Sides against Enron that IOUs owe Enron for PX credit</w:t>
        <w:tab/>
        <w:tab/>
        <w:tab/>
        <w:t>prob. = 25%</w:t>
      </w:r>
    </w:p>
    <w:p>
      <w:pPr>
        <w:pStyle w:val="Normal"/>
        <w:numPr>
          <w:ilvl w:val="1"/>
          <w:numId w:val="2"/>
        </w:numPr>
        <w:tabs>
          <w:tab w:val="clear" w:pos="720"/>
        </w:tabs>
        <w:ind w:hanging="360" w:start="720" w:end="0"/>
        <w:rPr>
          <w:sz w:val="20"/>
        </w:rPr>
      </w:pPr>
      <w:r>
        <w:rPr>
          <w:sz w:val="20"/>
        </w:rPr>
        <w:t xml:space="preserve">Sides against Enron that ESP must turn credit over to customer </w:t>
        <w:tab/>
        <w:tab/>
        <w:t>prob. = 80%</w:t>
      </w:r>
    </w:p>
    <w:p>
      <w:pPr>
        <w:pStyle w:val="Normal"/>
        <w:numPr>
          <w:ilvl w:val="1"/>
          <w:numId w:val="2"/>
        </w:numPr>
        <w:tabs>
          <w:tab w:val="clear" w:pos="720"/>
        </w:tabs>
        <w:ind w:hanging="360" w:start="720" w:end="0"/>
        <w:rPr>
          <w:sz w:val="20"/>
        </w:rPr>
      </w:pPr>
      <w:r>
        <w:rPr>
          <w:sz w:val="20"/>
        </w:rPr>
        <w:t>PUC decision upheld in courts</w:t>
        <w:tab/>
        <w:tab/>
        <w:tab/>
        <w:tab/>
        <w:tab/>
        <w:tab/>
        <w:t>prob. = 65%</w:t>
      </w:r>
    </w:p>
    <w:p>
      <w:pPr>
        <w:pStyle w:val="Normal"/>
        <w:rPr>
          <w:sz w:val="20"/>
        </w:rPr>
      </w:pPr>
      <w:r>
        <w:rPr>
          <w:sz w:val="20"/>
        </w:rPr>
      </w:r>
    </w:p>
    <w:p>
      <w:pPr>
        <w:pStyle w:val="Heading3"/>
        <w:ind w:hanging="0" w:start="0"/>
        <w:rPr/>
      </w:pPr>
      <w:r>
        <w:rPr/>
        <w:t xml:space="preserve">PX Credit exposure = </w:t>
      </w:r>
    </w:p>
    <w:p>
      <w:pPr>
        <w:pStyle w:val="Normal"/>
        <w:rPr>
          <w:sz w:val="20"/>
        </w:rPr>
      </w:pPr>
      <w:r>
        <w:rPr>
          <w:sz w:val="20"/>
        </w:rPr>
      </w:r>
    </w:p>
    <w:p>
      <w:pPr>
        <w:pStyle w:val="Normal"/>
        <w:numPr>
          <w:ilvl w:val="2"/>
          <w:numId w:val="2"/>
        </w:numPr>
        <w:tabs>
          <w:tab w:val="clear" w:pos="720"/>
        </w:tabs>
        <w:ind w:hanging="360" w:start="360" w:end="0"/>
        <w:rPr>
          <w:b/>
          <w:bCs/>
          <w:sz w:val="20"/>
        </w:rPr>
      </w:pPr>
      <w:r>
        <w:rPr>
          <w:b/>
          <w:bCs/>
          <w:sz w:val="20"/>
        </w:rPr>
        <w:t xml:space="preserve">Absent change in law, AB 1890 requires utility to absorb under-collection with end of rate freeze </w:t>
      </w:r>
    </w:p>
    <w:p>
      <w:pPr>
        <w:pStyle w:val="Normal"/>
        <w:ind w:start="720" w:end="0"/>
        <w:rPr>
          <w:sz w:val="20"/>
        </w:rPr>
      </w:pPr>
      <w:r>
        <w:rPr>
          <w:sz w:val="20"/>
        </w:rPr>
        <w:t>Legislature amends law, permits IOUs to collect portion of under-collection</w:t>
        <w:tab/>
        <w:t>prob.=</w:t>
        <w:tab/>
        <w:t>75%</w:t>
      </w:r>
    </w:p>
    <w:p>
      <w:pPr>
        <w:pStyle w:val="Normal"/>
        <w:rPr>
          <w:b/>
          <w:bCs/>
          <w:sz w:val="20"/>
        </w:rPr>
      </w:pPr>
      <w:r>
        <w:rPr>
          <w:b/>
          <w:bCs/>
          <w:sz w:val="20"/>
        </w:rPr>
      </w:r>
    </w:p>
    <w:p>
      <w:pPr>
        <w:pStyle w:val="Normal"/>
        <w:numPr>
          <w:ilvl w:val="2"/>
          <w:numId w:val="2"/>
        </w:numPr>
        <w:tabs>
          <w:tab w:val="clear" w:pos="720"/>
        </w:tabs>
        <w:ind w:hanging="360" w:start="360" w:end="0"/>
        <w:rPr>
          <w:b/>
          <w:bCs/>
          <w:sz w:val="20"/>
        </w:rPr>
      </w:pPr>
      <w:r>
        <w:rPr>
          <w:b/>
          <w:bCs/>
          <w:sz w:val="20"/>
        </w:rPr>
        <w:t>With rate freeze over, PUC has discretion to raise rates</w:t>
      </w:r>
    </w:p>
    <w:p>
      <w:pPr>
        <w:pStyle w:val="Normal"/>
        <w:rPr>
          <w:b/>
          <w:bCs/>
          <w:sz w:val="20"/>
        </w:rPr>
      </w:pPr>
      <w:r>
        <w:rPr>
          <w:b/>
          <w:bCs/>
          <w:sz w:val="20"/>
        </w:rPr>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i/>
                <w:i/>
                <w:iCs/>
                <w:sz w:val="20"/>
              </w:rPr>
            </w:pPr>
            <w:r>
              <w:rPr>
                <w:b/>
                <w:bCs/>
                <w:i/>
                <w:iCs/>
                <w:sz w:val="20"/>
              </w:rPr>
              <w:t>10% Rate Increase Scenario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Small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Large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Q1/2001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Q2/2001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Q3/2001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65%</w:t>
            </w:r>
          </w:p>
        </w:tc>
      </w:tr>
    </w:tbl>
    <w:p>
      <w:pPr>
        <w:pStyle w:val="Normal"/>
        <w:rPr>
          <w:sz w:val="20"/>
        </w:rPr>
      </w:pPr>
      <w:r>
        <w:rPr>
          <w:sz w:val="20"/>
        </w:rPr>
      </w:r>
    </w:p>
    <w:p>
      <w:pPr>
        <w:pStyle w:val="Heading3"/>
        <w:ind w:hanging="0" w:start="0"/>
        <w:rPr/>
      </w:pPr>
      <w:r>
        <w:rPr/>
        <w:t xml:space="preserve">Rate Increase Exposure (10% increase) = </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i/>
                <w:i/>
                <w:iCs/>
                <w:sz w:val="20"/>
              </w:rPr>
            </w:pPr>
            <w:r>
              <w:rPr>
                <w:b/>
                <w:bCs/>
                <w:i/>
                <w:iCs/>
                <w:sz w:val="20"/>
              </w:rPr>
              <w:t>20% Rate Increase Scenario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Small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Large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Q1/2001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Q2/2001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Q3/2001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r>
    </w:tbl>
    <w:p>
      <w:pPr>
        <w:pStyle w:val="Normal"/>
        <w:rPr>
          <w:sz w:val="20"/>
        </w:rPr>
      </w:pPr>
      <w:r>
        <w:rPr>
          <w:sz w:val="20"/>
        </w:rPr>
      </w:r>
    </w:p>
    <w:p>
      <w:pPr>
        <w:pStyle w:val="Heading3"/>
        <w:ind w:hanging="0" w:start="0"/>
        <w:rPr/>
      </w:pPr>
      <w:r>
        <w:rPr/>
        <w:t>Rate Increase Exposure = (20% increase) =</w:t>
      </w:r>
    </w:p>
    <w:p>
      <w:pPr>
        <w:pStyle w:val="Normal"/>
        <w:rPr>
          <w:sz w:val="20"/>
        </w:rPr>
      </w:pPr>
      <w:r>
        <w:rPr>
          <w:sz w:val="20"/>
        </w:rPr>
      </w:r>
    </w:p>
    <w:p>
      <w:pPr>
        <w:pStyle w:val="BodyTextIndent"/>
        <w:rPr>
          <w:b/>
          <w:bCs/>
        </w:rPr>
      </w:pPr>
      <w:r>
        <w:rPr>
          <w:b/>
          <w:bCs/>
        </w:rPr>
        <w:t>Note on rate increase:</w:t>
        <w:tab/>
        <w:t>Rate analysis assumes that the State is likely to attempt to delay rate increases by using proceeds from bond issuance to provide consumers with float for power purchased on their behalf.</w:t>
      </w:r>
      <w:r>
        <w:br w:type="page"/>
      </w:r>
    </w:p>
    <w:p>
      <w:pPr>
        <w:pStyle w:val="Heading1"/>
        <w:ind w:hanging="0" w:start="0"/>
        <w:rPr>
          <w:sz w:val="20"/>
        </w:rPr>
      </w:pPr>
      <w:r>
        <w:rPr>
          <w:sz w:val="20"/>
        </w:rPr>
        <w:t>Scenario 2:</w:t>
        <w:tab/>
        <w:t>CPUC GRANTS TURN PETITION—Requires Netting of Accounts</w:t>
      </w:r>
    </w:p>
    <w:p>
      <w:pPr>
        <w:pStyle w:val="Normal"/>
        <w:rPr>
          <w:sz w:val="20"/>
        </w:rPr>
      </w:pPr>
      <w:r>
        <w:rPr>
          <w:sz w:val="20"/>
        </w:rPr>
      </w:r>
    </w:p>
    <w:p>
      <w:pPr>
        <w:pStyle w:val="Normal"/>
        <w:rPr>
          <w:i/>
          <w:i/>
          <w:iCs/>
          <w:sz w:val="20"/>
        </w:rPr>
      </w:pPr>
      <w:r>
        <w:rPr>
          <w:i/>
          <w:iCs/>
          <w:sz w:val="20"/>
        </w:rPr>
        <w:t>Overall Scenario Probability =</w:t>
        <w:tab/>
        <w:tab/>
        <w:tab/>
        <w:tab/>
        <w:tab/>
        <w:tab/>
        <w:tab/>
        <w:tab/>
        <w:t>35%</w:t>
      </w:r>
    </w:p>
    <w:p>
      <w:pPr>
        <w:pStyle w:val="Normal"/>
        <w:rPr>
          <w:i/>
          <w:i/>
          <w:iCs/>
          <w:sz w:val="20"/>
        </w:rPr>
      </w:pPr>
      <w:r>
        <w:rPr>
          <w:i/>
          <w:iCs/>
          <w:sz w:val="20"/>
        </w:rPr>
        <w:t>Overall Expected Exposure—10% rate increase  (Credit + Rate Exposure) =</w:t>
        <w:tab/>
        <w:tab/>
        <w:tab/>
        <w:t>$???</w:t>
        <w:tab/>
      </w:r>
    </w:p>
    <w:p>
      <w:pPr>
        <w:pStyle w:val="Normal"/>
        <w:rPr>
          <w:i/>
          <w:i/>
          <w:iCs/>
          <w:sz w:val="20"/>
        </w:rPr>
      </w:pPr>
      <w:r>
        <w:rPr>
          <w:i/>
          <w:iCs/>
          <w:sz w:val="20"/>
        </w:rPr>
        <w:t>Overall Expected Exposure—20% rate increase  (Credit + Rate Exposure) =</w:t>
        <w:tab/>
        <w:tab/>
        <w:tab/>
        <w:t>$???</w:t>
        <w:tab/>
      </w:r>
    </w:p>
    <w:p>
      <w:pPr>
        <w:pStyle w:val="Normal"/>
        <w:rPr>
          <w:i/>
          <w:i/>
          <w:iCs/>
          <w:sz w:val="20"/>
        </w:rPr>
      </w:pPr>
      <w:r>
        <w:rPr>
          <w:i/>
          <w:iCs/>
          <w:sz w:val="20"/>
        </w:rPr>
      </w:r>
    </w:p>
    <w:p>
      <w:pPr>
        <w:pStyle w:val="Normal"/>
        <w:rPr>
          <w:sz w:val="20"/>
        </w:rPr>
      </w:pPr>
      <w:r>
        <w:rPr>
          <w:sz w:val="20"/>
        </w:rPr>
      </w:r>
    </w:p>
    <w:p>
      <w:pPr>
        <w:pStyle w:val="Normal"/>
        <w:numPr>
          <w:ilvl w:val="0"/>
          <w:numId w:val="4"/>
        </w:numPr>
        <w:rPr>
          <w:sz w:val="20"/>
        </w:rPr>
      </w:pPr>
      <w:r>
        <w:rPr>
          <w:b/>
          <w:bCs/>
          <w:sz w:val="20"/>
        </w:rPr>
        <w:t xml:space="preserve">Freeze cannot end absent very high value placed on IOUs’ retained generation </w:t>
      </w:r>
    </w:p>
    <w:p>
      <w:pPr>
        <w:pStyle w:val="Normal"/>
        <w:numPr>
          <w:ilvl w:val="1"/>
          <w:numId w:val="4"/>
        </w:numPr>
        <w:tabs>
          <w:tab w:val="clear" w:pos="720"/>
        </w:tabs>
        <w:ind w:hanging="360" w:start="720" w:end="0"/>
        <w:rPr>
          <w:sz w:val="20"/>
        </w:rPr>
      </w:pPr>
      <w:r>
        <w:rPr>
          <w:sz w:val="20"/>
        </w:rPr>
        <w:t xml:space="preserve">PUC Values Generation </w:t>
      </w:r>
    </w:p>
    <w:p>
      <w:pPr>
        <w:pStyle w:val="Normal"/>
        <w:numPr>
          <w:ilvl w:val="2"/>
          <w:numId w:val="4"/>
        </w:numPr>
        <w:tabs>
          <w:tab w:val="clear" w:pos="720"/>
        </w:tabs>
        <w:ind w:hanging="360" w:start="1080" w:end="0"/>
        <w:rPr>
          <w:sz w:val="20"/>
        </w:rPr>
      </w:pPr>
      <w:r>
        <w:rPr>
          <w:sz w:val="20"/>
        </w:rPr>
        <w:t xml:space="preserve">at net book </w:t>
        <w:tab/>
        <w:t>(implies rate freeze ends on 03.31.02)</w:t>
        <w:tab/>
        <w:tab/>
        <w:tab/>
        <w:t>prob. = 90%</w:t>
      </w:r>
    </w:p>
    <w:p>
      <w:pPr>
        <w:pStyle w:val="Normal"/>
        <w:numPr>
          <w:ilvl w:val="2"/>
          <w:numId w:val="4"/>
        </w:numPr>
        <w:tabs>
          <w:tab w:val="clear" w:pos="720"/>
        </w:tabs>
        <w:ind w:hanging="360" w:start="1080" w:end="0"/>
        <w:rPr>
          <w:sz w:val="20"/>
        </w:rPr>
      </w:pPr>
      <w:r>
        <w:rPr>
          <w:sz w:val="20"/>
        </w:rPr>
        <w:t>at $2.8B</w:t>
        <w:tab/>
        <w:t>(implies rate freeze ends on 03.31.02)</w:t>
        <w:tab/>
        <w:tab/>
        <w:tab/>
        <w:t>prob. = 5%</w:t>
      </w:r>
    </w:p>
    <w:p>
      <w:pPr>
        <w:pStyle w:val="Normal"/>
        <w:numPr>
          <w:ilvl w:val="2"/>
          <w:numId w:val="4"/>
        </w:numPr>
        <w:tabs>
          <w:tab w:val="clear" w:pos="720"/>
        </w:tabs>
        <w:ind w:hanging="360" w:start="1080" w:end="0"/>
        <w:rPr>
          <w:sz w:val="20"/>
        </w:rPr>
      </w:pPr>
      <w:r>
        <w:rPr>
          <w:sz w:val="20"/>
        </w:rPr>
        <w:t>at $4.0B</w:t>
        <w:tab/>
        <w:t>(implies rate freeze ends on 03.31.02)</w:t>
        <w:tab/>
        <w:tab/>
        <w:tab/>
        <w:t xml:space="preserve">prob. = 5% </w:t>
      </w:r>
    </w:p>
    <w:p>
      <w:pPr>
        <w:pStyle w:val="Normal"/>
        <w:numPr>
          <w:ilvl w:val="2"/>
          <w:numId w:val="4"/>
        </w:numPr>
        <w:tabs>
          <w:tab w:val="clear" w:pos="720"/>
        </w:tabs>
        <w:ind w:hanging="360" w:start="1080" w:end="0"/>
        <w:rPr>
          <w:sz w:val="20"/>
        </w:rPr>
      </w:pPr>
      <w:r>
        <w:rPr>
          <w:sz w:val="20"/>
        </w:rPr>
        <w:t>at $7+B</w:t>
        <w:tab/>
        <w:t>(implies rate freeze ends on 03.27.02)</w:t>
        <w:tab/>
        <w:tab/>
        <w:tab/>
        <w:t>prob. = &lt;1%</w:t>
      </w:r>
    </w:p>
    <w:p>
      <w:pPr>
        <w:pStyle w:val="Normal"/>
        <w:rPr>
          <w:sz w:val="20"/>
        </w:rPr>
      </w:pPr>
      <w:r>
        <w:rPr>
          <w:sz w:val="20"/>
        </w:rPr>
      </w:r>
    </w:p>
    <w:p>
      <w:pPr>
        <w:pStyle w:val="Heading3"/>
        <w:ind w:hanging="0" w:start="0"/>
        <w:rPr/>
      </w:pPr>
      <w:r>
        <w:rPr/>
        <w:t>PX Credit exposure =</w:t>
      </w:r>
    </w:p>
    <w:p>
      <w:pPr>
        <w:pStyle w:val="Normal"/>
        <w:rPr>
          <w:sz w:val="20"/>
        </w:rPr>
      </w:pPr>
      <w:r>
        <w:rPr>
          <w:sz w:val="20"/>
        </w:rPr>
      </w:r>
    </w:p>
    <w:p>
      <w:pPr>
        <w:pStyle w:val="Normal"/>
        <w:numPr>
          <w:ilvl w:val="0"/>
          <w:numId w:val="2"/>
        </w:numPr>
        <w:rPr>
          <w:b/>
          <w:bCs/>
          <w:sz w:val="20"/>
        </w:rPr>
      </w:pPr>
      <w:r>
        <w:rPr>
          <w:b/>
          <w:bCs/>
          <w:sz w:val="20"/>
        </w:rPr>
        <w:t>PUC addresses PX credit issue in context of Enron complaint against IOUs</w:t>
      </w:r>
    </w:p>
    <w:p>
      <w:pPr>
        <w:pStyle w:val="Normal"/>
        <w:numPr>
          <w:ilvl w:val="1"/>
          <w:numId w:val="2"/>
        </w:numPr>
        <w:tabs>
          <w:tab w:val="clear" w:pos="720"/>
        </w:tabs>
        <w:ind w:hanging="360" w:start="720" w:end="0"/>
        <w:rPr>
          <w:sz w:val="20"/>
        </w:rPr>
      </w:pPr>
      <w:r>
        <w:rPr>
          <w:sz w:val="20"/>
        </w:rPr>
        <w:t>Sides against Enron that IOUs owe Enron for PX credit</w:t>
        <w:tab/>
        <w:tab/>
        <w:tab/>
        <w:t>prob. = 25%</w:t>
      </w:r>
    </w:p>
    <w:p>
      <w:pPr>
        <w:pStyle w:val="Normal"/>
        <w:numPr>
          <w:ilvl w:val="1"/>
          <w:numId w:val="2"/>
        </w:numPr>
        <w:tabs>
          <w:tab w:val="clear" w:pos="720"/>
        </w:tabs>
        <w:ind w:hanging="360" w:start="720" w:end="0"/>
        <w:rPr>
          <w:sz w:val="20"/>
        </w:rPr>
      </w:pPr>
      <w:r>
        <w:rPr>
          <w:sz w:val="20"/>
        </w:rPr>
        <w:t xml:space="preserve">Sides against Enron that ESP must turn credit over to customer </w:t>
        <w:tab/>
        <w:tab/>
        <w:t>prob. = 80%</w:t>
      </w:r>
    </w:p>
    <w:p>
      <w:pPr>
        <w:pStyle w:val="Normal"/>
        <w:numPr>
          <w:ilvl w:val="1"/>
          <w:numId w:val="2"/>
        </w:numPr>
        <w:tabs>
          <w:tab w:val="clear" w:pos="720"/>
        </w:tabs>
        <w:ind w:hanging="360" w:start="720" w:end="0"/>
        <w:rPr>
          <w:sz w:val="20"/>
        </w:rPr>
      </w:pPr>
      <w:r>
        <w:rPr>
          <w:sz w:val="20"/>
        </w:rPr>
        <w:t>PUC decision upheld in courts</w:t>
        <w:tab/>
        <w:tab/>
        <w:tab/>
        <w:tab/>
        <w:tab/>
        <w:tab/>
        <w:t>prob. = 65%</w:t>
      </w:r>
    </w:p>
    <w:p>
      <w:pPr>
        <w:pStyle w:val="Normal"/>
        <w:rPr>
          <w:sz w:val="20"/>
        </w:rPr>
      </w:pPr>
      <w:r>
        <w:rPr>
          <w:sz w:val="20"/>
        </w:rPr>
      </w:r>
    </w:p>
    <w:p>
      <w:pPr>
        <w:pStyle w:val="Heading3"/>
        <w:ind w:hanging="0" w:start="0"/>
        <w:rPr/>
      </w:pPr>
      <w:r>
        <w:rPr/>
        <w:t xml:space="preserve">PX Credit exposure = </w:t>
      </w:r>
    </w:p>
    <w:p>
      <w:pPr>
        <w:pStyle w:val="Normal"/>
        <w:rPr>
          <w:sz w:val="20"/>
        </w:rPr>
      </w:pPr>
      <w:r>
        <w:rPr>
          <w:sz w:val="20"/>
        </w:rPr>
      </w:r>
    </w:p>
    <w:p>
      <w:pPr>
        <w:pStyle w:val="Normal"/>
        <w:numPr>
          <w:ilvl w:val="2"/>
          <w:numId w:val="2"/>
        </w:numPr>
        <w:tabs>
          <w:tab w:val="clear" w:pos="720"/>
        </w:tabs>
        <w:ind w:hanging="360" w:start="360" w:end="0"/>
        <w:rPr>
          <w:b/>
          <w:bCs/>
          <w:sz w:val="20"/>
        </w:rPr>
      </w:pPr>
      <w:r>
        <w:rPr>
          <w:b/>
          <w:bCs/>
          <w:sz w:val="20"/>
        </w:rPr>
        <w:t xml:space="preserve">Absent change in law, AB 1890 requires utility to absorb under-collection with end of rate freeze </w:t>
      </w:r>
    </w:p>
    <w:p>
      <w:pPr>
        <w:pStyle w:val="Normal"/>
        <w:ind w:start="720" w:end="0"/>
        <w:rPr>
          <w:sz w:val="20"/>
        </w:rPr>
      </w:pPr>
      <w:r>
        <w:rPr>
          <w:sz w:val="20"/>
        </w:rPr>
        <w:t>Legislature amends law, permits IOUs to collect portion of under-collection</w:t>
        <w:tab/>
        <w:t>prob.=</w:t>
        <w:tab/>
        <w:t>75%</w:t>
      </w:r>
    </w:p>
    <w:p>
      <w:pPr>
        <w:pStyle w:val="Normal"/>
        <w:rPr>
          <w:b/>
          <w:bCs/>
          <w:sz w:val="20"/>
        </w:rPr>
      </w:pPr>
      <w:r>
        <w:rPr>
          <w:b/>
          <w:bCs/>
          <w:sz w:val="20"/>
        </w:rPr>
      </w:r>
    </w:p>
    <w:p>
      <w:pPr>
        <w:pStyle w:val="Normal"/>
        <w:numPr>
          <w:ilvl w:val="2"/>
          <w:numId w:val="2"/>
        </w:numPr>
        <w:tabs>
          <w:tab w:val="clear" w:pos="720"/>
        </w:tabs>
        <w:ind w:hanging="360" w:start="360" w:end="0"/>
        <w:rPr>
          <w:b/>
          <w:bCs/>
          <w:sz w:val="20"/>
        </w:rPr>
      </w:pPr>
      <w:r>
        <w:rPr>
          <w:b/>
          <w:bCs/>
          <w:sz w:val="20"/>
        </w:rPr>
        <w:t>With rate freeze over, PUC has discretion to raise rates</w:t>
      </w:r>
    </w:p>
    <w:p>
      <w:pPr>
        <w:pStyle w:val="Normal"/>
        <w:rPr>
          <w:b/>
          <w:bCs/>
          <w:sz w:val="20"/>
        </w:rPr>
      </w:pPr>
      <w:r>
        <w:rPr>
          <w:b/>
          <w:bCs/>
          <w:sz w:val="20"/>
        </w:rPr>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i/>
                <w:i/>
                <w:iCs/>
                <w:sz w:val="20"/>
              </w:rPr>
            </w:pPr>
            <w:r>
              <w:rPr>
                <w:b/>
                <w:bCs/>
                <w:i/>
                <w:iCs/>
                <w:sz w:val="20"/>
              </w:rPr>
              <w:t>10% Rate Increase Scenario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Small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Large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Q1/2001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Q2/2001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Q3/2001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65%</w:t>
            </w:r>
          </w:p>
        </w:tc>
      </w:tr>
    </w:tbl>
    <w:p>
      <w:pPr>
        <w:pStyle w:val="Normal"/>
        <w:rPr>
          <w:sz w:val="20"/>
        </w:rPr>
      </w:pPr>
      <w:r>
        <w:rPr>
          <w:sz w:val="20"/>
        </w:rPr>
      </w:r>
    </w:p>
    <w:p>
      <w:pPr>
        <w:pStyle w:val="Heading3"/>
        <w:ind w:hanging="0" w:start="0"/>
        <w:rPr/>
      </w:pPr>
      <w:r>
        <w:rPr/>
        <w:t xml:space="preserve">Rate Increase Exposure (10% increase) = </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i/>
                <w:i/>
                <w:iCs/>
                <w:sz w:val="20"/>
              </w:rPr>
            </w:pPr>
            <w:r>
              <w:rPr>
                <w:b/>
                <w:bCs/>
                <w:i/>
                <w:iCs/>
                <w:sz w:val="20"/>
              </w:rPr>
              <w:t>20% Rate Increase Scenario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Small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Large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Q1/2001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Q2/2001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Q3/2001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r>
    </w:tbl>
    <w:p>
      <w:pPr>
        <w:pStyle w:val="Normal"/>
        <w:rPr>
          <w:sz w:val="20"/>
        </w:rPr>
      </w:pPr>
      <w:r>
        <w:rPr>
          <w:sz w:val="20"/>
        </w:rPr>
      </w:r>
    </w:p>
    <w:p>
      <w:pPr>
        <w:pStyle w:val="Heading3"/>
        <w:ind w:hanging="0" w:start="0"/>
        <w:rPr/>
      </w:pPr>
      <w:r>
        <w:rPr/>
        <w:t>Rate Increase Exposure = (20% increase) =</w:t>
      </w:r>
    </w:p>
    <w:p>
      <w:pPr>
        <w:pStyle w:val="Normal"/>
        <w:rPr>
          <w:sz w:val="20"/>
        </w:rPr>
      </w:pPr>
      <w:r>
        <w:rPr>
          <w:sz w:val="20"/>
        </w:rPr>
      </w:r>
    </w:p>
    <w:p>
      <w:pPr>
        <w:pStyle w:val="BodyTextIndent"/>
        <w:rPr>
          <w:b/>
          <w:bCs/>
        </w:rPr>
      </w:pPr>
      <w:r>
        <w:rPr>
          <w:b/>
          <w:bCs/>
        </w:rPr>
        <w:t>Note on rate increase:</w:t>
        <w:tab/>
        <w:t>Rate analysis assumes that the State is likely to attempt to delay rate increases by using proceeds from bond issuance to provide consumers with float for power purchased on their behalf.</w:t>
      </w:r>
      <w:r>
        <w:br w:type="page"/>
      </w:r>
    </w:p>
    <w:p>
      <w:pPr>
        <w:pStyle w:val="Heading1"/>
        <w:ind w:hanging="0" w:start="0"/>
        <w:rPr>
          <w:sz w:val="20"/>
        </w:rPr>
      </w:pPr>
      <w:r>
        <w:rPr>
          <w:sz w:val="20"/>
        </w:rPr>
        <w:t>Scenario 3:</w:t>
        <w:tab/>
        <w:t xml:space="preserve">Governor/Legislature Address All Issues in Comprehensive Package </w:t>
      </w:r>
    </w:p>
    <w:p>
      <w:pPr>
        <w:pStyle w:val="Normal"/>
        <w:rPr>
          <w:sz w:val="20"/>
        </w:rPr>
      </w:pPr>
      <w:r>
        <w:rPr>
          <w:sz w:val="20"/>
        </w:rPr>
      </w:r>
    </w:p>
    <w:p>
      <w:pPr>
        <w:pStyle w:val="BodyTextIndent2"/>
        <w:rPr/>
      </w:pPr>
      <w:r>
        <w:rPr/>
        <w:t>Note:</w:t>
        <w:tab/>
        <w:t>Scenario is similar in most respects to Scenario 2, with the exception that rate freeze ends as part of comprehensive deal reached between IOUs/Governor and Legislature</w:t>
      </w:r>
    </w:p>
    <w:p>
      <w:pPr>
        <w:pStyle w:val="Normal"/>
        <w:rPr>
          <w:sz w:val="20"/>
        </w:rPr>
      </w:pPr>
      <w:r>
        <w:rPr>
          <w:sz w:val="20"/>
        </w:rPr>
      </w:r>
    </w:p>
    <w:p>
      <w:pPr>
        <w:pStyle w:val="Normal"/>
        <w:rPr>
          <w:i/>
          <w:i/>
          <w:iCs/>
          <w:sz w:val="20"/>
        </w:rPr>
      </w:pPr>
      <w:r>
        <w:rPr>
          <w:i/>
          <w:iCs/>
          <w:sz w:val="20"/>
        </w:rPr>
        <w:t>Overall Scenario Probability =</w:t>
        <w:tab/>
        <w:tab/>
        <w:tab/>
        <w:tab/>
        <w:tab/>
        <w:tab/>
        <w:tab/>
        <w:tab/>
        <w:t>40%</w:t>
      </w:r>
    </w:p>
    <w:p>
      <w:pPr>
        <w:pStyle w:val="Normal"/>
        <w:rPr>
          <w:i/>
          <w:i/>
          <w:iCs/>
          <w:sz w:val="20"/>
        </w:rPr>
      </w:pPr>
      <w:r>
        <w:rPr>
          <w:i/>
          <w:iCs/>
          <w:sz w:val="20"/>
        </w:rPr>
        <w:t>Overall Expected Exposure—10% rate increase  (Credit + Rate Exposure) =</w:t>
        <w:tab/>
        <w:tab/>
        <w:tab/>
        <w:t>$???</w:t>
        <w:tab/>
      </w:r>
    </w:p>
    <w:p>
      <w:pPr>
        <w:pStyle w:val="Normal"/>
        <w:rPr>
          <w:i/>
          <w:i/>
          <w:iCs/>
          <w:sz w:val="20"/>
        </w:rPr>
      </w:pPr>
      <w:r>
        <w:rPr>
          <w:i/>
          <w:iCs/>
          <w:sz w:val="20"/>
        </w:rPr>
        <w:t>Overall Expected Exposure—20% rate increase  (Credit + Rate Exposure) =</w:t>
        <w:tab/>
        <w:tab/>
        <w:tab/>
        <w:t>$???</w:t>
        <w:tab/>
      </w:r>
    </w:p>
    <w:p>
      <w:pPr>
        <w:pStyle w:val="Normal"/>
        <w:rPr>
          <w:i/>
          <w:i/>
          <w:iCs/>
          <w:sz w:val="20"/>
        </w:rPr>
      </w:pPr>
      <w:r>
        <w:rPr>
          <w:i/>
          <w:iCs/>
          <w:sz w:val="20"/>
        </w:rPr>
      </w:r>
    </w:p>
    <w:p>
      <w:pPr>
        <w:pStyle w:val="Normal"/>
        <w:rPr>
          <w:sz w:val="20"/>
        </w:rPr>
      </w:pPr>
      <w:r>
        <w:rPr>
          <w:sz w:val="20"/>
        </w:rPr>
      </w:r>
    </w:p>
    <w:p>
      <w:pPr>
        <w:pStyle w:val="Normal"/>
        <w:numPr>
          <w:ilvl w:val="0"/>
          <w:numId w:val="4"/>
        </w:numPr>
        <w:rPr>
          <w:sz w:val="20"/>
        </w:rPr>
      </w:pPr>
      <w:r>
        <w:rPr>
          <w:b/>
          <w:bCs/>
          <w:sz w:val="20"/>
        </w:rPr>
        <w:t>As part of comprehensive deal, the rate freeze ends</w:t>
      </w:r>
    </w:p>
    <w:p>
      <w:pPr>
        <w:pStyle w:val="Normal"/>
        <w:numPr>
          <w:ilvl w:val="1"/>
          <w:numId w:val="4"/>
        </w:numPr>
        <w:tabs>
          <w:tab w:val="clear" w:pos="720"/>
        </w:tabs>
        <w:ind w:hanging="360" w:start="720" w:end="0"/>
        <w:rPr>
          <w:sz w:val="20"/>
        </w:rPr>
      </w:pPr>
      <w:r>
        <w:rPr>
          <w:sz w:val="20"/>
        </w:rPr>
        <w:t>Deal and enabling legislation establish end of rate freeze:</w:t>
      </w:r>
    </w:p>
    <w:p>
      <w:pPr>
        <w:pStyle w:val="Normal"/>
        <w:numPr>
          <w:ilvl w:val="2"/>
          <w:numId w:val="4"/>
        </w:numPr>
        <w:tabs>
          <w:tab w:val="clear" w:pos="720"/>
        </w:tabs>
        <w:ind w:hanging="360" w:start="1080" w:end="0"/>
        <w:rPr>
          <w:sz w:val="20"/>
        </w:rPr>
      </w:pPr>
      <w:r>
        <w:rPr>
          <w:sz w:val="20"/>
        </w:rPr>
        <w:t xml:space="preserve">During Q2/2001 </w:t>
        <w:tab/>
        <w:t>(approximate date of enactment)</w:t>
        <w:tab/>
        <w:tab/>
        <w:tab/>
        <w:t>prob. = 45%</w:t>
      </w:r>
    </w:p>
    <w:p>
      <w:pPr>
        <w:pStyle w:val="Normal"/>
        <w:numPr>
          <w:ilvl w:val="2"/>
          <w:numId w:val="4"/>
        </w:numPr>
        <w:tabs>
          <w:tab w:val="clear" w:pos="720"/>
        </w:tabs>
        <w:ind w:hanging="360" w:start="1080" w:end="0"/>
        <w:rPr>
          <w:sz w:val="20"/>
        </w:rPr>
      </w:pPr>
      <w:r>
        <w:rPr>
          <w:sz w:val="20"/>
        </w:rPr>
        <w:t>During Q3/2001</w:t>
        <w:tab/>
        <w:t>(upon PUC implementation of legislation)</w:t>
        <w:tab/>
        <w:tab/>
        <w:t>prob. = 55%</w:t>
      </w:r>
    </w:p>
    <w:p>
      <w:pPr>
        <w:pStyle w:val="Normal"/>
        <w:numPr>
          <w:ilvl w:val="2"/>
          <w:numId w:val="4"/>
        </w:numPr>
        <w:tabs>
          <w:tab w:val="clear" w:pos="720"/>
        </w:tabs>
        <w:ind w:hanging="360" w:start="1080" w:end="0"/>
        <w:rPr>
          <w:sz w:val="20"/>
        </w:rPr>
      </w:pPr>
      <w:r>
        <w:rPr>
          <w:sz w:val="20"/>
        </w:rPr>
        <w:t xml:space="preserve">During Q4/2001 </w:t>
        <w:tab/>
        <w:tab/>
        <w:tab/>
        <w:tab/>
        <w:tab/>
        <w:tab/>
        <w:tab/>
        <w:t xml:space="preserve">prob. = &lt;1% </w:t>
      </w:r>
    </w:p>
    <w:p>
      <w:pPr>
        <w:pStyle w:val="Normal"/>
        <w:rPr>
          <w:sz w:val="20"/>
        </w:rPr>
      </w:pPr>
      <w:r>
        <w:rPr>
          <w:sz w:val="20"/>
        </w:rPr>
      </w:r>
    </w:p>
    <w:p>
      <w:pPr>
        <w:pStyle w:val="Heading3"/>
        <w:ind w:hanging="0" w:start="0"/>
        <w:rPr/>
      </w:pPr>
      <w:r>
        <w:rPr/>
        <w:t>PX Credit exposure =</w:t>
      </w:r>
    </w:p>
    <w:p>
      <w:pPr>
        <w:pStyle w:val="Normal"/>
        <w:rPr>
          <w:sz w:val="20"/>
        </w:rPr>
      </w:pPr>
      <w:r>
        <w:rPr>
          <w:sz w:val="20"/>
        </w:rPr>
      </w:r>
    </w:p>
    <w:p>
      <w:pPr>
        <w:pStyle w:val="Normal"/>
        <w:numPr>
          <w:ilvl w:val="0"/>
          <w:numId w:val="2"/>
        </w:numPr>
        <w:rPr>
          <w:b/>
          <w:bCs/>
          <w:sz w:val="20"/>
        </w:rPr>
      </w:pPr>
      <w:r>
        <w:rPr>
          <w:b/>
          <w:bCs/>
          <w:sz w:val="20"/>
        </w:rPr>
        <w:t>PX credit issue remains at CPUC in context of Enron complaint against IOUs</w:t>
      </w:r>
    </w:p>
    <w:p>
      <w:pPr>
        <w:pStyle w:val="Normal"/>
        <w:numPr>
          <w:ilvl w:val="1"/>
          <w:numId w:val="2"/>
        </w:numPr>
        <w:tabs>
          <w:tab w:val="clear" w:pos="720"/>
        </w:tabs>
        <w:ind w:hanging="360" w:start="720" w:end="0"/>
        <w:rPr>
          <w:sz w:val="20"/>
        </w:rPr>
      </w:pPr>
      <w:r>
        <w:rPr>
          <w:sz w:val="20"/>
        </w:rPr>
        <w:t>PUC sides against Enron that IOUs owe Enron for PX credit</w:t>
        <w:tab/>
        <w:tab/>
        <w:tab/>
        <w:t>prob. = 25%</w:t>
      </w:r>
    </w:p>
    <w:p>
      <w:pPr>
        <w:pStyle w:val="Normal"/>
        <w:numPr>
          <w:ilvl w:val="1"/>
          <w:numId w:val="2"/>
        </w:numPr>
        <w:tabs>
          <w:tab w:val="clear" w:pos="720"/>
        </w:tabs>
        <w:ind w:hanging="360" w:start="720" w:end="0"/>
        <w:rPr>
          <w:sz w:val="20"/>
        </w:rPr>
      </w:pPr>
      <w:r>
        <w:rPr>
          <w:sz w:val="20"/>
        </w:rPr>
        <w:t xml:space="preserve">PUC sides against Enron that ESP must turn credit over to customer </w:t>
        <w:tab/>
        <w:tab/>
        <w:t>prob. = 80%</w:t>
      </w:r>
    </w:p>
    <w:p>
      <w:pPr>
        <w:pStyle w:val="Normal"/>
        <w:numPr>
          <w:ilvl w:val="1"/>
          <w:numId w:val="2"/>
        </w:numPr>
        <w:tabs>
          <w:tab w:val="clear" w:pos="720"/>
        </w:tabs>
        <w:ind w:hanging="360" w:start="720" w:end="0"/>
        <w:rPr>
          <w:sz w:val="20"/>
        </w:rPr>
      </w:pPr>
      <w:r>
        <w:rPr>
          <w:sz w:val="20"/>
        </w:rPr>
        <w:t>PUC decision against Enron upheld in courts</w:t>
        <w:tab/>
        <w:tab/>
        <w:tab/>
        <w:tab/>
        <w:tab/>
        <w:t>prob. = 65%</w:t>
      </w:r>
    </w:p>
    <w:p>
      <w:pPr>
        <w:pStyle w:val="Normal"/>
        <w:rPr>
          <w:sz w:val="20"/>
        </w:rPr>
      </w:pPr>
      <w:r>
        <w:rPr>
          <w:sz w:val="20"/>
        </w:rPr>
      </w:r>
    </w:p>
    <w:p>
      <w:pPr>
        <w:pStyle w:val="Heading3"/>
        <w:ind w:hanging="0" w:start="0"/>
        <w:rPr/>
      </w:pPr>
      <w:r>
        <w:rPr/>
        <w:t xml:space="preserve">PX Credit exposure = </w:t>
      </w:r>
    </w:p>
    <w:p>
      <w:pPr>
        <w:pStyle w:val="Normal"/>
        <w:rPr>
          <w:sz w:val="20"/>
        </w:rPr>
      </w:pPr>
      <w:r>
        <w:rPr>
          <w:sz w:val="20"/>
        </w:rPr>
      </w:r>
    </w:p>
    <w:p>
      <w:pPr>
        <w:pStyle w:val="Normal"/>
        <w:numPr>
          <w:ilvl w:val="2"/>
          <w:numId w:val="2"/>
        </w:numPr>
        <w:tabs>
          <w:tab w:val="clear" w:pos="720"/>
        </w:tabs>
        <w:ind w:hanging="360" w:start="360" w:end="0"/>
        <w:rPr>
          <w:b/>
          <w:bCs/>
          <w:sz w:val="20"/>
        </w:rPr>
      </w:pPr>
      <w:r>
        <w:rPr>
          <w:b/>
          <w:bCs/>
          <w:sz w:val="20"/>
        </w:rPr>
        <w:t xml:space="preserve">As part of comprehensive package, Governor/Legislature addresses utilities recovery of under-collection </w:t>
      </w:r>
    </w:p>
    <w:p>
      <w:pPr>
        <w:pStyle w:val="Normal"/>
        <w:ind w:start="720" w:end="0"/>
        <w:rPr>
          <w:sz w:val="20"/>
        </w:rPr>
      </w:pPr>
      <w:r>
        <w:rPr>
          <w:sz w:val="20"/>
        </w:rPr>
        <w:t xml:space="preserve">Coincident with end of rate freeze, comprehensive deal permits IOUs </w:t>
      </w:r>
    </w:p>
    <w:p>
      <w:pPr>
        <w:pStyle w:val="Normal"/>
        <w:ind w:start="720" w:end="0"/>
        <w:rPr>
          <w:sz w:val="20"/>
        </w:rPr>
      </w:pPr>
      <w:r>
        <w:rPr>
          <w:sz w:val="20"/>
        </w:rPr>
        <w:t>to collect portion of under-collection</w:t>
        <w:tab/>
        <w:tab/>
        <w:tab/>
        <w:tab/>
        <w:tab/>
        <w:t>prob.=</w:t>
        <w:tab/>
        <w:t>90+%</w:t>
      </w:r>
    </w:p>
    <w:p>
      <w:pPr>
        <w:pStyle w:val="Normal"/>
        <w:rPr>
          <w:b/>
          <w:bCs/>
          <w:sz w:val="20"/>
        </w:rPr>
      </w:pPr>
      <w:r>
        <w:rPr>
          <w:b/>
          <w:bCs/>
          <w:sz w:val="20"/>
        </w:rPr>
      </w:r>
    </w:p>
    <w:p>
      <w:pPr>
        <w:pStyle w:val="Normal"/>
        <w:numPr>
          <w:ilvl w:val="2"/>
          <w:numId w:val="2"/>
        </w:numPr>
        <w:tabs>
          <w:tab w:val="clear" w:pos="720"/>
        </w:tabs>
        <w:ind w:hanging="360" w:start="360" w:end="0"/>
        <w:rPr>
          <w:b/>
          <w:bCs/>
          <w:sz w:val="20"/>
        </w:rPr>
      </w:pPr>
      <w:r>
        <w:rPr>
          <w:b/>
          <w:bCs/>
          <w:sz w:val="20"/>
        </w:rPr>
        <w:t>With rate freeze over, Governor/Legislature/PUC have authority to raise rates</w:t>
      </w:r>
    </w:p>
    <w:p>
      <w:pPr>
        <w:pStyle w:val="Normal"/>
        <w:rPr>
          <w:b/>
          <w:bCs/>
          <w:sz w:val="20"/>
        </w:rPr>
      </w:pPr>
      <w:r>
        <w:rPr>
          <w:b/>
          <w:bCs/>
          <w:sz w:val="20"/>
        </w:rPr>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i/>
                <w:i/>
                <w:iCs/>
                <w:sz w:val="20"/>
              </w:rPr>
            </w:pPr>
            <w:r>
              <w:rPr>
                <w:b/>
                <w:bCs/>
                <w:i/>
                <w:iCs/>
                <w:sz w:val="20"/>
              </w:rPr>
              <w:t>10% Rate Increase Scenario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Small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Large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Q1/2001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Q2/2001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Q3/2001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65%</w:t>
            </w:r>
          </w:p>
        </w:tc>
      </w:tr>
    </w:tbl>
    <w:p>
      <w:pPr>
        <w:pStyle w:val="Normal"/>
        <w:rPr>
          <w:sz w:val="20"/>
        </w:rPr>
      </w:pPr>
      <w:r>
        <w:rPr>
          <w:sz w:val="20"/>
        </w:rPr>
      </w:r>
    </w:p>
    <w:p>
      <w:pPr>
        <w:pStyle w:val="Heading3"/>
        <w:ind w:hanging="0" w:start="0"/>
        <w:rPr/>
      </w:pPr>
      <w:r>
        <w:rPr/>
        <w:t xml:space="preserve">Rate Increase Exposure (10% increase) = </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i/>
                <w:i/>
                <w:iCs/>
                <w:sz w:val="20"/>
              </w:rPr>
            </w:pPr>
            <w:r>
              <w:rPr>
                <w:b/>
                <w:bCs/>
                <w:i/>
                <w:iCs/>
                <w:sz w:val="20"/>
              </w:rPr>
              <w:t>20% Rate Increase Scenario</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Small</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Large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Q1/2001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Q2/2001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Q3/2001</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r>
    </w:tbl>
    <w:p>
      <w:pPr>
        <w:pStyle w:val="Normal"/>
        <w:rPr>
          <w:sz w:val="20"/>
        </w:rPr>
      </w:pPr>
      <w:r>
        <w:rPr>
          <w:sz w:val="20"/>
        </w:rPr>
      </w:r>
    </w:p>
    <w:p>
      <w:pPr>
        <w:pStyle w:val="Heading3"/>
        <w:ind w:hanging="0" w:start="0"/>
        <w:rPr/>
      </w:pPr>
      <w:r>
        <w:rPr/>
        <w:t>Rate Increase Exposure = (20% increase) =</w:t>
      </w:r>
    </w:p>
    <w:p>
      <w:pPr>
        <w:pStyle w:val="Normal"/>
        <w:rPr>
          <w:sz w:val="20"/>
        </w:rPr>
      </w:pPr>
      <w:r>
        <w:rPr>
          <w:sz w:val="20"/>
        </w:rPr>
      </w:r>
    </w:p>
    <w:p>
      <w:pPr>
        <w:pStyle w:val="BodyTextIndent"/>
        <w:rPr>
          <w:b/>
          <w:bCs/>
        </w:rPr>
      </w:pPr>
      <w:r>
        <w:rPr>
          <w:b/>
          <w:bCs/>
        </w:rPr>
        <w:t>Note on rate increase:</w:t>
        <w:tab/>
        <w:t>Rate analysis assumes that the State is likely to attempt to delay rate increases by using proceeds from bond issuance to provide consumers with float for power purchased on their behalf.</w:t>
      </w:r>
      <w:r>
        <w:br w:type="page"/>
      </w:r>
    </w:p>
    <w:p>
      <w:pPr>
        <w:pStyle w:val="Heading1"/>
        <w:ind w:hanging="0" w:start="0"/>
        <w:rPr>
          <w:sz w:val="20"/>
        </w:rPr>
      </w:pPr>
      <w:r>
        <w:rPr>
          <w:sz w:val="20"/>
        </w:rPr>
        <w:t>Scenario 4:</w:t>
        <w:tab/>
        <w:t xml:space="preserve">IOU Bankruptcy </w:t>
      </w:r>
    </w:p>
    <w:p>
      <w:pPr>
        <w:pStyle w:val="BodyTextIndent"/>
        <w:rPr>
          <w:sz w:val="20"/>
        </w:rPr>
      </w:pPr>
      <w:r>
        <w:rPr>
          <w:sz w:val="20"/>
        </w:rPr>
      </w:r>
    </w:p>
    <w:p>
      <w:pPr>
        <w:pStyle w:val="Normal"/>
        <w:rPr>
          <w:i/>
          <w:i/>
          <w:iCs/>
          <w:sz w:val="20"/>
        </w:rPr>
      </w:pPr>
      <w:r>
        <w:rPr>
          <w:i/>
          <w:iCs/>
          <w:sz w:val="20"/>
        </w:rPr>
        <w:t>Overall Scenario Probability =</w:t>
        <w:tab/>
        <w:tab/>
        <w:tab/>
        <w:tab/>
        <w:tab/>
        <w:tab/>
        <w:tab/>
        <w:tab/>
        <w:t>15%</w:t>
      </w:r>
    </w:p>
    <w:p>
      <w:pPr>
        <w:pStyle w:val="Normal"/>
        <w:rPr>
          <w:i/>
          <w:i/>
          <w:iCs/>
          <w:sz w:val="20"/>
        </w:rPr>
      </w:pPr>
      <w:r>
        <w:rPr>
          <w:i/>
          <w:iCs/>
          <w:sz w:val="20"/>
        </w:rPr>
        <w:t>Overall Expected Exposure—10% rate increase  (Credit + Rate Exposure) =</w:t>
        <w:tab/>
        <w:tab/>
        <w:tab/>
        <w:t>$???</w:t>
        <w:tab/>
      </w:r>
    </w:p>
    <w:p>
      <w:pPr>
        <w:pStyle w:val="Normal"/>
        <w:rPr>
          <w:i/>
          <w:i/>
          <w:iCs/>
          <w:sz w:val="20"/>
        </w:rPr>
      </w:pPr>
      <w:r>
        <w:rPr>
          <w:i/>
          <w:iCs/>
          <w:sz w:val="20"/>
        </w:rPr>
        <w:t>Overall Expected Exposure—20% rate increase  (Credit + Rate Exposure) =</w:t>
        <w:tab/>
        <w:tab/>
        <w:tab/>
        <w:t>$???</w:t>
        <w:tab/>
      </w:r>
    </w:p>
    <w:p>
      <w:pPr>
        <w:pStyle w:val="BodyTextIndent"/>
        <w:rPr>
          <w:i/>
          <w:i/>
          <w:iCs/>
          <w:sz w:val="20"/>
        </w:rPr>
      </w:pPr>
      <w:r>
        <w:rPr>
          <w:i/>
          <w:iCs/>
          <w:sz w:val="20"/>
        </w:rPr>
      </w:r>
    </w:p>
    <w:p>
      <w:pPr>
        <w:pStyle w:val="BodyTextIndent"/>
        <w:numPr>
          <w:ilvl w:val="2"/>
          <w:numId w:val="2"/>
        </w:numPr>
        <w:tabs>
          <w:tab w:val="clear" w:pos="720"/>
        </w:tabs>
        <w:ind w:hanging="360" w:start="360" w:end="0"/>
        <w:rPr/>
      </w:pPr>
      <w:r>
        <w:rPr/>
        <w:t>Michael Tribolet can likely provide credit exposure under bankruptcy scenario.</w:t>
      </w:r>
    </w:p>
    <w:p>
      <w:pPr>
        <w:pStyle w:val="BodyTextIndent"/>
        <w:numPr>
          <w:ilvl w:val="2"/>
          <w:numId w:val="2"/>
        </w:numPr>
        <w:tabs>
          <w:tab w:val="clear" w:pos="720"/>
        </w:tabs>
        <w:ind w:hanging="360" w:start="360" w:end="0"/>
        <w:rPr/>
      </w:pPr>
      <w:r>
        <w:rPr/>
        <w:t>Rate analysis same as in Scenarios 1-3</w:t>
      </w:r>
    </w:p>
    <w:p>
      <w:pPr>
        <w:pStyle w:val="BodyTextIndent"/>
        <w:numPr>
          <w:ilvl w:val="2"/>
          <w:numId w:val="2"/>
        </w:numPr>
        <w:tabs>
          <w:tab w:val="clear" w:pos="720"/>
        </w:tabs>
        <w:ind w:hanging="360" w:start="360" w:end="0"/>
        <w:rPr/>
      </w:pPr>
      <w:r>
        <w:rPr/>
        <w:t>End of rate freeze under bankruptcy scenario requires further analysis.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b/>
      <w:bCs/>
      <w:sz w:val="20"/>
    </w:rPr>
  </w:style>
  <w:style w:type="paragraph" w:styleId="Heading3">
    <w:name w:val="heading 3"/>
    <w:basedOn w:val="Normal"/>
    <w:next w:val="Normal"/>
    <w:qFormat/>
    <w:pPr>
      <w:keepNext w:val="true"/>
      <w:numPr>
        <w:ilvl w:val="2"/>
        <w:numId w:val="1"/>
      </w:numPr>
      <w:outlineLvl w:val="2"/>
    </w:pPr>
    <w:rPr>
      <w:i/>
      <w:iCs/>
      <w:sz w:val="20"/>
    </w:rPr>
  </w:style>
  <w:style w:type="character" w:styleId="WW8Num1z0">
    <w:name w:val="WW8Num1z0"/>
    <w:qFormat/>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0"/>
    </w:rPr>
  </w:style>
  <w:style w:type="paragraph" w:styleId="BodyTextIndent2">
    <w:name w:val="Body Text Indent 2"/>
    <w:basedOn w:val="Normal"/>
    <w:qFormat/>
    <w:pPr>
      <w:ind w:hanging="720" w:start="720"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2001-03-07T00:50:00Z</dcterms:created>
  <dc:creator>jdasovic</dc:creator>
  <dc:description/>
  <dc:language>en-CA</dc:language>
  <cp:lastModifiedBy>jdasovic</cp:lastModifiedBy>
  <cp:lastPrinted>2001-03-07T10:45:00Z</cp:lastPrinted>
  <dcterms:modified xsi:type="dcterms:W3CDTF">2001-03-07T14:24:00Z</dcterms:modified>
  <cp:revision>33</cp:revision>
  <dc:subject/>
  <dc:title>DENY TURN—No Netting</dc:title>
</cp:coreProperties>
</file>