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4"/>
        </w:rPr>
      </w:pPr>
      <w:r>
        <w:rPr>
          <w:b/>
          <w:sz w:val="24"/>
        </w:rPr>
        <w:t>PX Credit Calculation</w:t>
      </w:r>
    </w:p>
    <w:p>
      <w:pPr>
        <w:pStyle w:val="Normal"/>
        <w:rPr>
          <w:b/>
          <w:sz w:val="24"/>
        </w:rPr>
      </w:pPr>
      <w:r>
        <w:rPr>
          <w:b/>
          <w:sz w:val="24"/>
        </w:rPr>
        <w:t>As of August 2, 2001</w:t>
      </w:r>
    </w:p>
    <w:p>
      <w:pPr>
        <w:pStyle w:val="Normal"/>
        <w:rPr>
          <w:b/>
          <w:sz w:val="24"/>
        </w:rPr>
      </w:pPr>
      <w:r>
        <w:rPr>
          <w:b/>
          <w:sz w:val="24"/>
        </w:rPr>
      </w:r>
    </w:p>
    <w:p>
      <w:pPr>
        <w:pStyle w:val="Normal"/>
        <w:rPr>
          <w:b/>
          <w:color w:val="FF0000"/>
          <w:sz w:val="24"/>
        </w:rPr>
      </w:pPr>
      <w:r>
        <w:rPr>
          <w:b/>
          <w:color w:val="FF0000"/>
          <w:sz w:val="24"/>
        </w:rPr>
        <w:t>Pacific Gas &amp; Electric</w:t>
      </w:r>
    </w:p>
    <w:p>
      <w:pPr>
        <w:pStyle w:val="Normal"/>
        <w:rPr>
          <w:b/>
          <w:color w:val="FF0000"/>
          <w:sz w:val="24"/>
        </w:rPr>
      </w:pPr>
      <w:r>
        <w:rPr>
          <w:b/>
          <w:color w:val="FF0000"/>
          <w:sz w:val="24"/>
        </w:rPr>
      </w:r>
    </w:p>
    <w:p>
      <w:pPr>
        <w:pStyle w:val="Normal"/>
        <w:rPr>
          <w:b/>
        </w:rPr>
      </w:pPr>
      <w:r>
        <w:rPr>
          <w:b/>
        </w:rPr>
        <w:t>Summary of Method:</w:t>
      </w:r>
    </w:p>
    <w:p>
      <w:pPr>
        <w:pStyle w:val="Normal"/>
        <w:rPr/>
      </w:pPr>
      <w:r>
        <w:rPr/>
        <w:t>PG&amp;E continues to apply a PX credit to Direct Access customers' bills.  The PX credit is calculated as a weighted average of PG&amp;E's "costs".  The costs are calculated on a utility-wide average and are levied this way.  Throughout 2001, the credit calculation has been adjusted as PG&amp;E has modified its thinking as to how the credit should be calculated.  The credit in the current period currently reflects adjustments for prior periods.  However, these adjustments are not applied retroactively and are not applied on a specific customer basis.</w:t>
      </w:r>
    </w:p>
    <w:p>
      <w:pPr>
        <w:pStyle w:val="Normal"/>
        <w:rPr/>
      </w:pPr>
      <w:r>
        <w:rPr/>
      </w:r>
    </w:p>
    <w:p>
      <w:pPr>
        <w:pStyle w:val="Normal"/>
        <w:rPr/>
      </w:pPr>
      <w:r>
        <w:rPr/>
        <w:t>PG&amp;E's PX credit for July is $35/MWh.  The unadjusted July PX credit is $57/MWh.  PG&amp;E expects the PX credit to stay at the reduced level until the end of September.</w:t>
      </w:r>
    </w:p>
    <w:p>
      <w:pPr>
        <w:pStyle w:val="Normal"/>
        <w:rPr/>
      </w:pPr>
      <w:r>
        <w:rPr/>
      </w:r>
    </w:p>
    <w:p>
      <w:pPr>
        <w:pStyle w:val="Normal"/>
        <w:rPr/>
      </w:pPr>
      <w:r>
        <w:rPr/>
        <w:t>PG&amp;E Weighted Cost Method:</w:t>
      </w:r>
    </w:p>
    <w:p>
      <w:pPr>
        <w:pStyle w:val="Normal"/>
        <w:rPr>
          <w:b/>
          <w:i/>
          <w:i/>
        </w:rPr>
      </w:pPr>
      <w:r>
        <w:rPr>
          <w:b/>
          <w:i/>
        </w:rPr>
        <w:t>e.g. July 2001</w:t>
      </w:r>
    </w:p>
    <w:p>
      <w:pPr>
        <w:pStyle w:val="Normal"/>
        <w:ind w:start="720" w:end="0"/>
        <w:rPr/>
      </w:pPr>
      <w:r>
        <w:rPr/>
        <w:t>PG&amp;E generation costs (approx. 1/3)</w:t>
      </w:r>
    </w:p>
    <w:p>
      <w:pPr>
        <w:pStyle w:val="Normal"/>
        <w:ind w:start="720" w:end="0"/>
        <w:rPr/>
      </w:pPr>
      <w:r>
        <w:rPr/>
        <w:tab/>
        <w:t>Fossil - revenue requirement</w:t>
      </w:r>
    </w:p>
    <w:p>
      <w:pPr>
        <w:pStyle w:val="Normal"/>
        <w:ind w:start="720" w:end="0"/>
        <w:rPr/>
      </w:pPr>
      <w:r>
        <w:rPr/>
        <w:tab/>
        <w:t>Hydro - market value of $3.5 billion</w:t>
      </w:r>
    </w:p>
    <w:p>
      <w:pPr>
        <w:pStyle w:val="Normal"/>
        <w:ind w:start="720" w:end="0"/>
        <w:rPr/>
      </w:pPr>
      <w:r>
        <w:rPr/>
        <w:tab/>
        <w:t>Diablo - ICIP pricing</w:t>
      </w:r>
    </w:p>
    <w:p>
      <w:pPr>
        <w:pStyle w:val="Normal"/>
        <w:ind w:start="720" w:end="0"/>
        <w:rPr/>
      </w:pPr>
      <w:r>
        <w:rPr/>
        <w:t>QF Costs (approx. 1/3)</w:t>
      </w:r>
    </w:p>
    <w:p>
      <w:pPr>
        <w:pStyle w:val="Normal"/>
        <w:tabs>
          <w:tab w:val="clear" w:pos="720"/>
          <w:tab w:val="left" w:pos="4320" w:leader="none"/>
        </w:tabs>
        <w:ind w:start="720" w:end="0"/>
        <w:rPr/>
      </w:pPr>
      <w:r>
        <w:rPr/>
        <w:t>Combined PG&amp;E and QF ………………….</w:t>
        <w:tab/>
        <w:t>$55/MWh</w:t>
      </w:r>
    </w:p>
    <w:p>
      <w:pPr>
        <w:pStyle w:val="Normal"/>
        <w:tabs>
          <w:tab w:val="clear" w:pos="720"/>
          <w:tab w:val="left" w:pos="4320" w:leader="none"/>
        </w:tabs>
        <w:ind w:start="720" w:end="0"/>
        <w:rPr/>
      </w:pPr>
      <w:r>
        <w:rPr/>
      </w:r>
    </w:p>
    <w:p>
      <w:pPr>
        <w:pStyle w:val="Normal"/>
        <w:tabs>
          <w:tab w:val="clear" w:pos="720"/>
          <w:tab w:val="left" w:pos="4320" w:leader="none"/>
        </w:tabs>
        <w:ind w:start="720" w:end="0"/>
        <w:rPr/>
      </w:pPr>
      <w:r>
        <w:rPr/>
        <w:t>Payments to CDWR* (approx. 1/3) ………..</w:t>
        <w:tab/>
      </w:r>
      <w:r>
        <w:rPr>
          <w:u w:val="single"/>
        </w:rPr>
        <w:t>$64.71/MWh</w:t>
      </w:r>
    </w:p>
    <w:p>
      <w:pPr>
        <w:pStyle w:val="Normal"/>
        <w:tabs>
          <w:tab w:val="clear" w:pos="720"/>
          <w:tab w:val="left" w:pos="4320" w:leader="none"/>
        </w:tabs>
        <w:ind w:start="720" w:end="0"/>
        <w:rPr>
          <w:u w:val="single"/>
        </w:rPr>
      </w:pPr>
      <w:r>
        <w:rPr>
          <w:u w:val="single"/>
        </w:rPr>
      </w:r>
    </w:p>
    <w:p>
      <w:pPr>
        <w:pStyle w:val="Normal"/>
        <w:tabs>
          <w:tab w:val="clear" w:pos="720"/>
          <w:tab w:val="left" w:pos="4320" w:leader="none"/>
        </w:tabs>
        <w:ind w:start="720" w:end="0"/>
        <w:rPr>
          <w:b/>
        </w:rPr>
      </w:pPr>
      <w:r>
        <w:rPr>
          <w:b/>
        </w:rPr>
        <w:t>Unadjusted PX Credit</w:t>
        <w:tab/>
        <w:t>$57/MWh</w:t>
      </w:r>
    </w:p>
    <w:p>
      <w:pPr>
        <w:pStyle w:val="Normal"/>
        <w:tabs>
          <w:tab w:val="clear" w:pos="720"/>
          <w:tab w:val="left" w:pos="4320" w:leader="none"/>
        </w:tabs>
        <w:ind w:start="720" w:end="0"/>
        <w:rPr>
          <w:b/>
        </w:rPr>
      </w:pPr>
      <w:r>
        <w:rPr>
          <w:b/>
        </w:rPr>
      </w:r>
    </w:p>
    <w:p>
      <w:pPr>
        <w:pStyle w:val="Normal"/>
        <w:tabs>
          <w:tab w:val="clear" w:pos="720"/>
          <w:tab w:val="left" w:pos="4320" w:leader="none"/>
        </w:tabs>
        <w:ind w:start="720" w:end="0"/>
        <w:rPr>
          <w:b/>
        </w:rPr>
      </w:pPr>
      <w:r>
        <w:rPr>
          <w:b/>
        </w:rPr>
        <w:t>Adjusted PX Credit</w:t>
        <w:tab/>
        <w:t>$35/MWh</w:t>
      </w:r>
    </w:p>
    <w:p>
      <w:pPr>
        <w:pStyle w:val="Normal"/>
        <w:tabs>
          <w:tab w:val="clear" w:pos="720"/>
          <w:tab w:val="left" w:pos="4320" w:leader="none"/>
        </w:tabs>
        <w:ind w:start="720" w:end="0"/>
        <w:rPr>
          <w:b/>
        </w:rPr>
      </w:pPr>
      <w:r>
        <w:rPr>
          <w:b/>
        </w:rPr>
      </w:r>
    </w:p>
    <w:p>
      <w:pPr>
        <w:pStyle w:val="Normal"/>
        <w:tabs>
          <w:tab w:val="clear" w:pos="720"/>
          <w:tab w:val="left" w:pos="4320" w:leader="none"/>
        </w:tabs>
        <w:rPr/>
      </w:pPr>
      <w:r>
        <w:rPr/>
        <w:t>* CDWR "costs" are equal to the revenue paid by PG&amp;E to CDWR</w:t>
      </w:r>
    </w:p>
    <w:p>
      <w:pPr>
        <w:pStyle w:val="Normal"/>
        <w:tabs>
          <w:tab w:val="clear" w:pos="720"/>
          <w:tab w:val="left" w:pos="4320" w:leader="none"/>
        </w:tabs>
        <w:rPr/>
      </w:pPr>
      <w:r>
        <w:rPr/>
        <w:t>The costs of CDWR, e.g. market prices, do not directly impact the PX credit calculation.</w:t>
      </w:r>
    </w:p>
    <w:p>
      <w:pPr>
        <w:pStyle w:val="Normal"/>
        <w:tabs>
          <w:tab w:val="clear" w:pos="720"/>
          <w:tab w:val="left" w:pos="4320" w:leader="none"/>
        </w:tabs>
        <w:rPr/>
      </w:pPr>
      <w:r>
        <w:rPr/>
      </w:r>
    </w:p>
    <w:p>
      <w:pPr>
        <w:pStyle w:val="Normal"/>
        <w:tabs>
          <w:tab w:val="clear" w:pos="720"/>
          <w:tab w:val="right" w:pos="8460" w:leader="none"/>
        </w:tabs>
        <w:rPr>
          <w:u w:val="single"/>
        </w:rPr>
      </w:pPr>
      <w:r>
        <w:rPr>
          <w:u w:val="single"/>
        </w:rPr>
        <w:tab/>
      </w:r>
    </w:p>
    <w:p>
      <w:pPr>
        <w:pStyle w:val="Normal"/>
        <w:tabs>
          <w:tab w:val="clear" w:pos="720"/>
          <w:tab w:val="left" w:pos="4320" w:leader="none"/>
        </w:tabs>
        <w:rPr>
          <w:b/>
          <w:sz w:val="24"/>
        </w:rPr>
      </w:pPr>
      <w:r>
        <w:rPr>
          <w:b/>
          <w:sz w:val="24"/>
        </w:rPr>
        <w:t>Detailed Meeting Notes</w:t>
      </w:r>
    </w:p>
    <w:p>
      <w:pPr>
        <w:pStyle w:val="Normal"/>
        <w:tabs>
          <w:tab w:val="clear" w:pos="720"/>
          <w:tab w:val="left" w:pos="4320" w:leader="none"/>
        </w:tabs>
        <w:rPr>
          <w:b/>
          <w:sz w:val="24"/>
        </w:rPr>
      </w:pPr>
      <w:r>
        <w:rPr>
          <w:b/>
          <w:sz w:val="24"/>
        </w:rPr>
      </w:r>
    </w:p>
    <w:p>
      <w:pPr>
        <w:pStyle w:val="Normal"/>
        <w:tabs>
          <w:tab w:val="clear" w:pos="720"/>
          <w:tab w:val="left" w:pos="4320" w:leader="none"/>
        </w:tabs>
        <w:rPr/>
      </w:pPr>
      <w:r>
        <w:rPr/>
        <w:t>Present:</w:t>
      </w:r>
    </w:p>
    <w:p>
      <w:pPr>
        <w:pStyle w:val="Normal"/>
        <w:tabs>
          <w:tab w:val="clear" w:pos="720"/>
          <w:tab w:val="left" w:pos="1260" w:leader="none"/>
          <w:tab w:val="left" w:pos="3600" w:leader="none"/>
          <w:tab w:val="left" w:pos="4320" w:leader="none"/>
        </w:tabs>
        <w:ind w:start="360" w:end="0"/>
        <w:rPr/>
      </w:pPr>
      <w:r>
        <w:rPr>
          <w:b/>
        </w:rPr>
        <w:t>PG&amp;E</w:t>
      </w:r>
      <w:r>
        <w:rPr/>
        <w:tab/>
        <w:t>Dan Pease</w:t>
        <w:tab/>
      </w:r>
      <w:r>
        <w:rPr>
          <w:b/>
        </w:rPr>
        <w:t>Enron</w:t>
      </w:r>
      <w:r>
        <w:rPr/>
        <w:tab/>
        <w:t>Diann Huddleson</w:t>
      </w:r>
    </w:p>
    <w:p>
      <w:pPr>
        <w:pStyle w:val="Normal"/>
        <w:tabs>
          <w:tab w:val="clear" w:pos="720"/>
          <w:tab w:val="left" w:pos="1260" w:leader="none"/>
          <w:tab w:val="left" w:pos="3600" w:leader="none"/>
          <w:tab w:val="left" w:pos="4320" w:leader="none"/>
        </w:tabs>
        <w:ind w:start="360" w:end="0"/>
        <w:rPr/>
      </w:pPr>
      <w:r>
        <w:rPr/>
        <w:tab/>
        <w:t>Calvin Yee</w:t>
        <w:tab/>
        <w:tab/>
        <w:t>Tamara Johnson</w:t>
      </w:r>
    </w:p>
    <w:p>
      <w:pPr>
        <w:pStyle w:val="Normal"/>
        <w:tabs>
          <w:tab w:val="clear" w:pos="720"/>
          <w:tab w:val="left" w:pos="1260" w:leader="none"/>
          <w:tab w:val="left" w:pos="3600" w:leader="none"/>
          <w:tab w:val="left" w:pos="4320" w:leader="none"/>
        </w:tabs>
        <w:ind w:start="360" w:end="0"/>
        <w:rPr/>
      </w:pPr>
      <w:r>
        <w:rPr/>
        <w:tab/>
        <w:t>Mike Alexander</w:t>
        <w:tab/>
        <w:tab/>
        <w:t>Sue Mara</w:t>
      </w:r>
    </w:p>
    <w:p>
      <w:pPr>
        <w:pStyle w:val="Normal"/>
        <w:tabs>
          <w:tab w:val="clear" w:pos="720"/>
          <w:tab w:val="left" w:pos="1260" w:leader="none"/>
          <w:tab w:val="left" w:pos="3600" w:leader="none"/>
          <w:tab w:val="left" w:pos="4320" w:leader="none"/>
        </w:tabs>
        <w:ind w:start="360" w:end="0"/>
        <w:rPr/>
      </w:pPr>
      <w:r>
        <w:rPr/>
        <w:tab/>
        <w:tab/>
        <w:tab/>
        <w:t>Michael Tribolet (arrived late)</w:t>
      </w:r>
    </w:p>
    <w:p>
      <w:pPr>
        <w:pStyle w:val="Normal"/>
        <w:rPr/>
      </w:pPr>
      <w:r>
        <w:rPr/>
      </w:r>
    </w:p>
    <w:p>
      <w:pPr>
        <w:pStyle w:val="Normal"/>
        <w:numPr>
          <w:ilvl w:val="0"/>
          <w:numId w:val="6"/>
        </w:numPr>
        <w:rPr>
          <w:b/>
          <w:i/>
          <w:i/>
        </w:rPr>
      </w:pPr>
      <w:r>
        <w:rPr>
          <w:b/>
          <w:i/>
        </w:rPr>
        <w:t>Discussion of Sample Bills</w:t>
      </w:r>
    </w:p>
    <w:p>
      <w:pPr>
        <w:pStyle w:val="Normal"/>
        <w:ind w:start="360" w:end="0"/>
        <w:rPr/>
      </w:pPr>
      <w:r>
        <w:rPr/>
        <w:t>Dan put a sample calculation up that compared a bundled customer bill to a Direct Access customer bill.  Salient points were:</w:t>
      </w:r>
    </w:p>
    <w:p>
      <w:pPr>
        <w:pStyle w:val="Normal"/>
        <w:numPr>
          <w:ilvl w:val="0"/>
          <w:numId w:val="3"/>
        </w:numPr>
        <w:tabs>
          <w:tab w:val="left" w:pos="720" w:leader="none"/>
        </w:tabs>
        <w:ind w:hanging="360" w:start="720" w:end="0"/>
        <w:rPr/>
      </w:pPr>
      <w:r>
        <w:rPr/>
        <w:t xml:space="preserve">One cent surcharge </w:t>
      </w:r>
      <w:r>
        <w:rPr>
          <w:u w:val="single"/>
        </w:rPr>
        <w:t>is</w:t>
      </w:r>
      <w:r>
        <w:rPr/>
        <w:t xml:space="preserve"> paid by DA customer</w:t>
      </w:r>
    </w:p>
    <w:p>
      <w:pPr>
        <w:pStyle w:val="Normal"/>
        <w:numPr>
          <w:ilvl w:val="0"/>
          <w:numId w:val="3"/>
        </w:numPr>
        <w:tabs>
          <w:tab w:val="left" w:pos="720" w:leader="none"/>
        </w:tabs>
        <w:ind w:hanging="360" w:start="720" w:end="0"/>
        <w:rPr/>
      </w:pPr>
      <w:r>
        <w:rPr/>
        <w:t>The customer may still pay a negative CTC charge.  Dan's example showed a negative CTC.</w:t>
      </w:r>
    </w:p>
    <w:p>
      <w:pPr>
        <w:pStyle w:val="Normal"/>
        <w:ind w:start="720" w:end="0"/>
        <w:rPr/>
      </w:pPr>
      <w:r>
        <w:rPr/>
      </w:r>
    </w:p>
    <w:p>
      <w:pPr>
        <w:pStyle w:val="Normal"/>
        <w:ind w:start="720" w:end="0"/>
        <w:rPr/>
      </w:pPr>
      <w:r>
        <w:rPr/>
        <w:t>e.g.  Normal Revenue (NR) = $90    (= $100 frozen rate - $10 temporary 10% discount)</w:t>
      </w:r>
    </w:p>
    <w:p>
      <w:pPr>
        <w:pStyle w:val="Normal"/>
        <w:ind w:start="720" w:end="0"/>
        <w:rPr/>
      </w:pPr>
      <w:r>
        <w:rPr/>
        <w:t>T&amp;D&amp;PPP = 34</w:t>
      </w:r>
    </w:p>
    <w:p>
      <w:pPr>
        <w:pStyle w:val="Normal"/>
        <w:ind w:start="720" w:end="0"/>
        <w:rPr/>
      </w:pPr>
      <w:r>
        <w:rPr/>
        <w:t>FTA = 11</w:t>
      </w:r>
    </w:p>
    <w:p>
      <w:pPr>
        <w:pStyle w:val="Normal"/>
        <w:ind w:start="720" w:end="0"/>
        <w:rPr/>
      </w:pPr>
      <w:r>
        <w:rPr/>
        <w:t>Energy = 51</w:t>
      </w:r>
    </w:p>
    <w:p>
      <w:pPr>
        <w:pStyle w:val="Normal"/>
        <w:ind w:start="720" w:end="0"/>
        <w:rPr/>
      </w:pPr>
      <w:r>
        <w:rPr/>
      </w:r>
    </w:p>
    <w:p>
      <w:pPr>
        <w:pStyle w:val="Normal"/>
        <w:ind w:start="720" w:end="0"/>
        <w:rPr/>
      </w:pPr>
      <w:r>
        <w:rPr/>
        <w:t>CTC = 90 - 34 - 11 - 51</w:t>
      </w:r>
    </w:p>
    <w:p>
      <w:pPr>
        <w:pStyle w:val="Normal"/>
        <w:ind w:start="720" w:end="0"/>
        <w:rPr/>
      </w:pPr>
      <w:r>
        <w:rPr/>
        <w:t xml:space="preserve">          </w:t>
      </w:r>
      <w:r>
        <w:rPr/>
        <w:t>= -6</w:t>
      </w:r>
    </w:p>
    <w:p>
      <w:pPr>
        <w:pStyle w:val="Normal"/>
        <w:ind w:start="720" w:end="0"/>
        <w:rPr/>
      </w:pPr>
      <w:r>
        <w:rPr/>
      </w:r>
    </w:p>
    <w:p>
      <w:pPr>
        <w:pStyle w:val="Normal"/>
        <w:numPr>
          <w:ilvl w:val="0"/>
          <w:numId w:val="4"/>
        </w:numPr>
        <w:rPr>
          <w:b/>
          <w:i/>
          <w:i/>
        </w:rPr>
      </w:pPr>
      <w:r>
        <w:rPr>
          <w:b/>
          <w:i/>
        </w:rPr>
        <w:t>Calculation of the PX Credit</w:t>
      </w:r>
    </w:p>
    <w:p>
      <w:pPr>
        <w:pStyle w:val="Normal"/>
        <w:ind w:start="360" w:end="0"/>
        <w:rPr/>
      </w:pPr>
      <w:r>
        <w:rPr/>
        <w:t>The formula used to calculate the PX Credit includes two adjustments.  PG&amp;E states that these adjustments have been in place "since the beginning".</w:t>
      </w:r>
    </w:p>
    <w:p>
      <w:pPr>
        <w:pStyle w:val="Normal"/>
        <w:ind w:start="360" w:end="0"/>
        <w:rPr/>
      </w:pPr>
      <w:r>
        <w:rPr/>
      </w:r>
    </w:p>
    <w:p>
      <w:pPr>
        <w:pStyle w:val="Normal"/>
        <w:ind w:start="360" w:end="0"/>
        <w:rPr/>
      </w:pPr>
      <w:r>
        <w:rPr/>
        <w:t>The formula is:</w:t>
      </w:r>
    </w:p>
    <w:p>
      <w:pPr>
        <w:pStyle w:val="Normal"/>
        <w:ind w:start="360" w:end="0"/>
        <w:rPr/>
      </w:pPr>
      <w:r>
        <w:rPr/>
        <w:drawing>
          <wp:anchor behindDoc="0" distT="0" distB="0" distL="114935" distR="114935" simplePos="0" locked="0" layoutInCell="0" allowOverlap="1" relativeHeight="2">
            <wp:simplePos x="0" y="0"/>
            <wp:positionH relativeFrom="column">
              <wp:posOffset>-447675</wp:posOffset>
            </wp:positionH>
            <wp:positionV relativeFrom="paragraph">
              <wp:posOffset>41275</wp:posOffset>
            </wp:positionV>
            <wp:extent cx="6209030" cy="81407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5" t="-38" r="-5" b="-38"/>
                    <a:stretch>
                      <a:fillRect/>
                    </a:stretch>
                  </pic:blipFill>
                  <pic:spPr bwMode="auto">
                    <a:xfrm>
                      <a:off x="0" y="0"/>
                      <a:ext cx="6209030" cy="814070"/>
                    </a:xfrm>
                    <a:prstGeom prst="rect">
                      <a:avLst/>
                    </a:prstGeom>
                    <a:noFill/>
                  </pic:spPr>
                </pic:pic>
              </a:graphicData>
            </a:graphic>
          </wp:anchor>
        </w:drawing>
      </w:r>
    </w:p>
    <w:p>
      <w:pPr>
        <w:pStyle w:val="Normal"/>
        <w:ind w:start="360" w:end="0"/>
        <w:rPr/>
      </w:pPr>
      <w:r>
        <w:rPr/>
        <w:t xml:space="preserve">The </w:t>
      </w:r>
      <w:r>
        <w:rPr>
          <w:b/>
        </w:rPr>
        <w:t>Forward Market Price (FM)</w:t>
      </w:r>
      <w:r>
        <w:rPr/>
        <w:t xml:space="preserve"> is based on PG&amp;E "costs":</w:t>
      </w:r>
    </w:p>
    <w:p>
      <w:pPr>
        <w:pStyle w:val="Normal"/>
        <w:ind w:start="360" w:end="0"/>
        <w:rPr/>
      </w:pPr>
      <w:r>
        <w:rPr/>
      </w:r>
    </w:p>
    <w:tbl>
      <w:tblPr>
        <w:tblW w:w="5804" w:type="dxa"/>
        <w:jc w:val="center"/>
        <w:tblInd w:w="0" w:type="dxa"/>
        <w:tblLayout w:type="fixed"/>
        <w:tblCellMar>
          <w:top w:w="0" w:type="dxa"/>
          <w:start w:w="108" w:type="dxa"/>
          <w:bottom w:w="0" w:type="dxa"/>
          <w:end w:w="108" w:type="dxa"/>
        </w:tblCellMar>
      </w:tblPr>
      <w:tblGrid>
        <w:gridCol w:w="4543"/>
        <w:gridCol w:w="1261"/>
      </w:tblGrid>
      <w:tr>
        <w:trPr/>
        <w:tc>
          <w:tcPr>
            <w:tcW w:w="4543" w:type="dxa"/>
            <w:tcBorders>
              <w:top w:val="single" w:sz="12" w:space="0" w:color="008000"/>
              <w:bottom w:val="single" w:sz="6" w:space="0" w:color="008000"/>
            </w:tcBorders>
          </w:tcPr>
          <w:p>
            <w:pPr>
              <w:pStyle w:val="Normal"/>
              <w:rPr>
                <w:b/>
                <w:sz w:val="24"/>
              </w:rPr>
            </w:pPr>
            <w:r>
              <w:rPr>
                <w:b/>
                <w:sz w:val="24"/>
              </w:rPr>
              <w:t>Generation Souce</w:t>
            </w:r>
          </w:p>
        </w:tc>
        <w:tc>
          <w:tcPr>
            <w:tcW w:w="1261" w:type="dxa"/>
            <w:tcBorders>
              <w:top w:val="single" w:sz="12" w:space="0" w:color="008000"/>
              <w:bottom w:val="single" w:sz="6" w:space="0" w:color="008000"/>
            </w:tcBorders>
          </w:tcPr>
          <w:p>
            <w:pPr>
              <w:pStyle w:val="Normal"/>
              <w:jc w:val="center"/>
              <w:rPr>
                <w:b/>
                <w:sz w:val="24"/>
              </w:rPr>
            </w:pPr>
            <w:r>
              <w:rPr>
                <w:b/>
                <w:sz w:val="24"/>
              </w:rPr>
              <w:t>Pct of Total</w:t>
            </w:r>
          </w:p>
        </w:tc>
      </w:tr>
      <w:tr>
        <w:trPr/>
        <w:tc>
          <w:tcPr>
            <w:tcW w:w="4543" w:type="dxa"/>
            <w:tcBorders/>
          </w:tcPr>
          <w:p>
            <w:pPr>
              <w:pStyle w:val="Normal"/>
              <w:rPr>
                <w:sz w:val="24"/>
              </w:rPr>
            </w:pPr>
            <w:r>
              <w:rPr>
                <w:sz w:val="24"/>
              </w:rPr>
              <w:t>Bilateral contracts</w:t>
            </w:r>
          </w:p>
        </w:tc>
        <w:tc>
          <w:tcPr>
            <w:tcW w:w="1261" w:type="dxa"/>
            <w:tcBorders/>
          </w:tcPr>
          <w:p>
            <w:pPr>
              <w:pStyle w:val="Normal"/>
              <w:jc w:val="center"/>
              <w:rPr>
                <w:sz w:val="24"/>
              </w:rPr>
            </w:pPr>
            <w:r>
              <w:rPr>
                <w:sz w:val="24"/>
              </w:rPr>
              <w:t>~0%</w:t>
            </w:r>
          </w:p>
        </w:tc>
      </w:tr>
      <w:tr>
        <w:trPr>
          <w:trHeight w:val="468" w:hRule="atLeast"/>
        </w:trPr>
        <w:tc>
          <w:tcPr>
            <w:tcW w:w="4543" w:type="dxa"/>
            <w:tcBorders/>
          </w:tcPr>
          <w:p>
            <w:pPr>
              <w:pStyle w:val="Normal"/>
              <w:rPr>
                <w:sz w:val="24"/>
              </w:rPr>
            </w:pPr>
            <w:r>
              <w:rPr>
                <w:sz w:val="24"/>
              </w:rPr>
              <w:t>Block forward contracts</w:t>
            </w:r>
          </w:p>
        </w:tc>
        <w:tc>
          <w:tcPr>
            <w:tcW w:w="1261" w:type="dxa"/>
            <w:tcBorders/>
          </w:tcPr>
          <w:p>
            <w:pPr>
              <w:pStyle w:val="Normal"/>
              <w:jc w:val="center"/>
              <w:rPr>
                <w:sz w:val="24"/>
              </w:rPr>
            </w:pPr>
            <w:r>
              <w:rPr>
                <w:sz w:val="24"/>
              </w:rPr>
              <w:t>~0%</w:t>
            </w:r>
          </w:p>
        </w:tc>
      </w:tr>
      <w:tr>
        <w:trPr/>
        <w:tc>
          <w:tcPr>
            <w:tcW w:w="4543" w:type="dxa"/>
            <w:tcBorders/>
          </w:tcPr>
          <w:p>
            <w:pPr>
              <w:pStyle w:val="Normal"/>
              <w:rPr>
                <w:sz w:val="24"/>
              </w:rPr>
            </w:pPr>
            <w:r>
              <w:rPr>
                <w:sz w:val="24"/>
              </w:rPr>
              <w:t>PG&amp;E owned generation:</w:t>
            </w:r>
          </w:p>
        </w:tc>
        <w:tc>
          <w:tcPr>
            <w:tcW w:w="1261" w:type="dxa"/>
            <w:tcBorders/>
          </w:tcPr>
          <w:p>
            <w:pPr>
              <w:pStyle w:val="Normal"/>
              <w:jc w:val="center"/>
              <w:rPr>
                <w:sz w:val="24"/>
              </w:rPr>
            </w:pPr>
            <w:r>
              <w:rPr>
                <w:sz w:val="24"/>
              </w:rPr>
              <w:t>33%</w:t>
            </w:r>
          </w:p>
        </w:tc>
      </w:tr>
      <w:tr>
        <w:trPr/>
        <w:tc>
          <w:tcPr>
            <w:tcW w:w="4543" w:type="dxa"/>
            <w:tcBorders/>
          </w:tcPr>
          <w:p>
            <w:pPr>
              <w:pStyle w:val="Normal"/>
              <w:rPr>
                <w:i/>
                <w:i/>
              </w:rPr>
            </w:pPr>
            <w:r>
              <w:rPr>
                <w:i/>
              </w:rPr>
              <w:t>Fossil - on revenue requirement</w:t>
            </w:r>
          </w:p>
        </w:tc>
        <w:tc>
          <w:tcPr>
            <w:tcW w:w="1261" w:type="dxa"/>
            <w:tcBorders/>
          </w:tcPr>
          <w:p>
            <w:pPr>
              <w:pStyle w:val="Normal"/>
              <w:snapToGrid w:val="false"/>
              <w:jc w:val="center"/>
              <w:rPr>
                <w:i/>
                <w:i/>
              </w:rPr>
            </w:pPr>
            <w:r>
              <w:rPr>
                <w:i/>
              </w:rPr>
            </w:r>
          </w:p>
        </w:tc>
      </w:tr>
      <w:tr>
        <w:trPr/>
        <w:tc>
          <w:tcPr>
            <w:tcW w:w="4543" w:type="dxa"/>
            <w:tcBorders/>
          </w:tcPr>
          <w:p>
            <w:pPr>
              <w:pStyle w:val="Normal"/>
              <w:rPr>
                <w:i/>
                <w:i/>
              </w:rPr>
            </w:pPr>
            <w:r>
              <w:rPr>
                <w:i/>
              </w:rPr>
              <w:t>Hydro - on market value, at $3.5 billion</w:t>
            </w:r>
          </w:p>
        </w:tc>
        <w:tc>
          <w:tcPr>
            <w:tcW w:w="1261" w:type="dxa"/>
            <w:tcBorders/>
          </w:tcPr>
          <w:p>
            <w:pPr>
              <w:pStyle w:val="Normal"/>
              <w:snapToGrid w:val="false"/>
              <w:jc w:val="center"/>
              <w:rPr>
                <w:i/>
                <w:i/>
              </w:rPr>
            </w:pPr>
            <w:r>
              <w:rPr>
                <w:i/>
              </w:rPr>
            </w:r>
          </w:p>
        </w:tc>
      </w:tr>
      <w:tr>
        <w:trPr>
          <w:trHeight w:val="333" w:hRule="atLeast"/>
        </w:trPr>
        <w:tc>
          <w:tcPr>
            <w:tcW w:w="4543" w:type="dxa"/>
            <w:tcBorders/>
          </w:tcPr>
          <w:p>
            <w:pPr>
              <w:pStyle w:val="Normal"/>
              <w:rPr>
                <w:i/>
                <w:i/>
              </w:rPr>
            </w:pPr>
            <w:r>
              <w:rPr>
                <w:i/>
              </w:rPr>
              <w:t>Diablo Canyon Nuclear - on incentive pricing (ICIP)</w:t>
            </w:r>
          </w:p>
        </w:tc>
        <w:tc>
          <w:tcPr>
            <w:tcW w:w="1261" w:type="dxa"/>
            <w:tcBorders/>
          </w:tcPr>
          <w:p>
            <w:pPr>
              <w:pStyle w:val="Normal"/>
              <w:snapToGrid w:val="false"/>
              <w:jc w:val="center"/>
              <w:rPr>
                <w:i/>
                <w:i/>
              </w:rPr>
            </w:pPr>
            <w:r>
              <w:rPr>
                <w:i/>
              </w:rPr>
            </w:r>
          </w:p>
        </w:tc>
      </w:tr>
      <w:tr>
        <w:trPr>
          <w:trHeight w:val="375" w:hRule="atLeast"/>
        </w:trPr>
        <w:tc>
          <w:tcPr>
            <w:tcW w:w="4543" w:type="dxa"/>
            <w:tcBorders/>
          </w:tcPr>
          <w:p>
            <w:pPr>
              <w:pStyle w:val="Normal"/>
              <w:rPr>
                <w:sz w:val="24"/>
              </w:rPr>
            </w:pPr>
            <w:r>
              <w:rPr>
                <w:sz w:val="24"/>
              </w:rPr>
              <w:t>Qualifying Facilities (QF's)</w:t>
            </w:r>
          </w:p>
        </w:tc>
        <w:tc>
          <w:tcPr>
            <w:tcW w:w="1261" w:type="dxa"/>
            <w:tcBorders/>
          </w:tcPr>
          <w:p>
            <w:pPr>
              <w:pStyle w:val="Normal"/>
              <w:jc w:val="center"/>
              <w:rPr>
                <w:sz w:val="24"/>
              </w:rPr>
            </w:pPr>
            <w:r>
              <w:rPr>
                <w:sz w:val="24"/>
              </w:rPr>
              <w:t>33%</w:t>
            </w:r>
          </w:p>
        </w:tc>
      </w:tr>
      <w:tr>
        <w:trPr>
          <w:trHeight w:val="375" w:hRule="atLeast"/>
        </w:trPr>
        <w:tc>
          <w:tcPr>
            <w:tcW w:w="4543" w:type="dxa"/>
            <w:tcBorders>
              <w:bottom w:val="single" w:sz="12" w:space="0" w:color="008000"/>
            </w:tcBorders>
          </w:tcPr>
          <w:p>
            <w:pPr>
              <w:pStyle w:val="Normal"/>
              <w:rPr>
                <w:sz w:val="24"/>
              </w:rPr>
            </w:pPr>
            <w:r>
              <w:rPr>
                <w:sz w:val="24"/>
              </w:rPr>
              <w:t>Payments to DWR</w:t>
            </w:r>
          </w:p>
        </w:tc>
        <w:tc>
          <w:tcPr>
            <w:tcW w:w="1261" w:type="dxa"/>
            <w:tcBorders>
              <w:bottom w:val="single" w:sz="12" w:space="0" w:color="008000"/>
            </w:tcBorders>
          </w:tcPr>
          <w:p>
            <w:pPr>
              <w:pStyle w:val="Normal"/>
              <w:jc w:val="center"/>
              <w:rPr>
                <w:sz w:val="24"/>
              </w:rPr>
            </w:pPr>
            <w:r>
              <w:rPr>
                <w:sz w:val="24"/>
              </w:rPr>
              <w:t>33%</w:t>
            </w:r>
          </w:p>
        </w:tc>
      </w:tr>
    </w:tbl>
    <w:p>
      <w:pPr>
        <w:pStyle w:val="Normal"/>
        <w:ind w:start="360" w:end="0"/>
        <w:rPr/>
      </w:pPr>
      <w:r>
        <w:rPr/>
      </w:r>
    </w:p>
    <w:p>
      <w:pPr>
        <w:pStyle w:val="Normal"/>
        <w:numPr>
          <w:ilvl w:val="0"/>
          <w:numId w:val="5"/>
        </w:numPr>
        <w:tabs>
          <w:tab w:val="left" w:pos="720" w:leader="none"/>
        </w:tabs>
        <w:ind w:hanging="360" w:start="720" w:end="0"/>
        <w:rPr>
          <w:b/>
          <w:i/>
          <w:i/>
        </w:rPr>
      </w:pPr>
      <w:r>
        <w:rPr>
          <w:b/>
          <w:i/>
        </w:rPr>
        <w:t>PG&amp;E and QF costs</w:t>
      </w:r>
    </w:p>
    <w:p>
      <w:pPr>
        <w:pStyle w:val="Normal"/>
        <w:ind w:start="360" w:end="0"/>
        <w:rPr/>
      </w:pPr>
      <w:r>
        <w:rPr/>
        <w:t>PG&amp;E's costs were based on the data they filed in February for the AB1X Implementation.  These values can be expected to drop after the current URG (utility retained generation) hearing ends.  The CPUC is likely to rule that both Hydro and Diablo Canyon will go back to (lower) cost-of-service regulated costs.</w:t>
      </w:r>
    </w:p>
    <w:p>
      <w:pPr>
        <w:pStyle w:val="Normal"/>
        <w:ind w:start="360" w:end="0"/>
        <w:rPr/>
      </w:pPr>
      <w:r>
        <w:rPr/>
      </w:r>
    </w:p>
    <w:p>
      <w:pPr>
        <w:pStyle w:val="Normal"/>
        <w:ind w:start="360" w:end="0"/>
        <w:rPr/>
      </w:pPr>
      <w:r>
        <w:rPr/>
        <w:t xml:space="preserve">There was no discussion of the derivation of the QF costs.  The </w:t>
      </w:r>
      <w:r>
        <w:rPr>
          <w:b/>
        </w:rPr>
        <w:t>PG&amp;E and QF costs</w:t>
      </w:r>
      <w:r>
        <w:rPr/>
        <w:t xml:space="preserve"> are forecast and then trued up to actual:</w:t>
      </w:r>
    </w:p>
    <w:p>
      <w:pPr>
        <w:pStyle w:val="Normal"/>
        <w:ind w:start="360" w:end="0"/>
        <w:rPr/>
      </w:pPr>
      <w:r>
        <w:rPr/>
      </w:r>
    </w:p>
    <w:tbl>
      <w:tblPr>
        <w:tblW w:w="2754" w:type="dxa"/>
        <w:jc w:val="center"/>
        <w:tblInd w:w="0" w:type="dxa"/>
        <w:tblLayout w:type="fixed"/>
        <w:tblCellMar>
          <w:top w:w="0" w:type="dxa"/>
          <w:start w:w="108" w:type="dxa"/>
          <w:bottom w:w="0" w:type="dxa"/>
          <w:end w:w="108" w:type="dxa"/>
        </w:tblCellMar>
      </w:tblPr>
      <w:tblGrid>
        <w:gridCol w:w="954"/>
        <w:gridCol w:w="990"/>
        <w:gridCol w:w="810"/>
      </w:tblGrid>
      <w:tr>
        <w:trPr/>
        <w:tc>
          <w:tcPr>
            <w:tcW w:w="954" w:type="dxa"/>
            <w:tcBorders>
              <w:top w:val="single" w:sz="12" w:space="0" w:color="008000"/>
              <w:bottom w:val="single" w:sz="6" w:space="0" w:color="008000"/>
            </w:tcBorders>
          </w:tcPr>
          <w:p>
            <w:pPr>
              <w:pStyle w:val="Normal"/>
              <w:rPr>
                <w:b/>
              </w:rPr>
            </w:pPr>
            <w:r>
              <w:rPr>
                <w:b/>
              </w:rPr>
              <w:t>$/MWh</w:t>
            </w:r>
          </w:p>
        </w:tc>
        <w:tc>
          <w:tcPr>
            <w:tcW w:w="990" w:type="dxa"/>
            <w:tcBorders>
              <w:top w:val="single" w:sz="12" w:space="0" w:color="008000"/>
              <w:bottom w:val="single" w:sz="6" w:space="0" w:color="008000"/>
            </w:tcBorders>
          </w:tcPr>
          <w:p>
            <w:pPr>
              <w:pStyle w:val="Normal"/>
              <w:jc w:val="center"/>
              <w:rPr/>
            </w:pPr>
            <w:r>
              <w:rPr/>
              <w:t>Forecast</w:t>
            </w:r>
          </w:p>
        </w:tc>
        <w:tc>
          <w:tcPr>
            <w:tcW w:w="810" w:type="dxa"/>
            <w:tcBorders>
              <w:top w:val="single" w:sz="12" w:space="0" w:color="008000"/>
              <w:bottom w:val="single" w:sz="6" w:space="0" w:color="008000"/>
            </w:tcBorders>
          </w:tcPr>
          <w:p>
            <w:pPr>
              <w:pStyle w:val="Normal"/>
              <w:jc w:val="center"/>
              <w:rPr/>
            </w:pPr>
            <w:r>
              <w:rPr/>
              <w:t>Actual</w:t>
            </w:r>
          </w:p>
        </w:tc>
      </w:tr>
      <w:tr>
        <w:trPr/>
        <w:tc>
          <w:tcPr>
            <w:tcW w:w="954" w:type="dxa"/>
            <w:tcBorders/>
          </w:tcPr>
          <w:p>
            <w:pPr>
              <w:pStyle w:val="Normal"/>
              <w:rPr/>
            </w:pPr>
            <w:r>
              <w:rPr/>
              <w:t>Jan</w:t>
            </w:r>
          </w:p>
        </w:tc>
        <w:tc>
          <w:tcPr>
            <w:tcW w:w="990" w:type="dxa"/>
            <w:tcBorders/>
          </w:tcPr>
          <w:p>
            <w:pPr>
              <w:pStyle w:val="Normal"/>
              <w:jc w:val="center"/>
              <w:rPr/>
            </w:pPr>
            <w:r>
              <w:rPr/>
              <w:t>125</w:t>
            </w:r>
          </w:p>
        </w:tc>
        <w:tc>
          <w:tcPr>
            <w:tcW w:w="810" w:type="dxa"/>
            <w:tcBorders/>
          </w:tcPr>
          <w:p>
            <w:pPr>
              <w:pStyle w:val="Normal"/>
              <w:jc w:val="center"/>
              <w:rPr/>
            </w:pPr>
            <w:r>
              <w:rPr/>
              <w:t>130.7</w:t>
            </w:r>
          </w:p>
        </w:tc>
      </w:tr>
      <w:tr>
        <w:trPr/>
        <w:tc>
          <w:tcPr>
            <w:tcW w:w="954" w:type="dxa"/>
            <w:tcBorders/>
          </w:tcPr>
          <w:p>
            <w:pPr>
              <w:pStyle w:val="Normal"/>
              <w:rPr/>
            </w:pPr>
            <w:r>
              <w:rPr/>
              <w:t>Feb</w:t>
            </w:r>
          </w:p>
        </w:tc>
        <w:tc>
          <w:tcPr>
            <w:tcW w:w="990" w:type="dxa"/>
            <w:tcBorders/>
          </w:tcPr>
          <w:p>
            <w:pPr>
              <w:pStyle w:val="Normal"/>
              <w:jc w:val="center"/>
              <w:rPr/>
            </w:pPr>
            <w:r>
              <w:rPr/>
              <w:t>75</w:t>
            </w:r>
          </w:p>
        </w:tc>
        <w:tc>
          <w:tcPr>
            <w:tcW w:w="810" w:type="dxa"/>
            <w:tcBorders/>
          </w:tcPr>
          <w:p>
            <w:pPr>
              <w:pStyle w:val="Normal"/>
              <w:jc w:val="center"/>
              <w:rPr/>
            </w:pPr>
            <w:r>
              <w:rPr/>
              <w:t>69</w:t>
            </w:r>
          </w:p>
        </w:tc>
      </w:tr>
      <w:tr>
        <w:trPr/>
        <w:tc>
          <w:tcPr>
            <w:tcW w:w="954" w:type="dxa"/>
            <w:tcBorders/>
          </w:tcPr>
          <w:p>
            <w:pPr>
              <w:pStyle w:val="Normal"/>
              <w:rPr/>
            </w:pPr>
            <w:r>
              <w:rPr/>
              <w:t>Mar</w:t>
            </w:r>
          </w:p>
        </w:tc>
        <w:tc>
          <w:tcPr>
            <w:tcW w:w="990" w:type="dxa"/>
            <w:tcBorders/>
          </w:tcPr>
          <w:p>
            <w:pPr>
              <w:pStyle w:val="Normal"/>
              <w:jc w:val="center"/>
              <w:rPr/>
            </w:pPr>
            <w:r>
              <w:rPr/>
              <w:t>79</w:t>
            </w:r>
          </w:p>
        </w:tc>
        <w:tc>
          <w:tcPr>
            <w:tcW w:w="810" w:type="dxa"/>
            <w:tcBorders/>
          </w:tcPr>
          <w:p>
            <w:pPr>
              <w:pStyle w:val="Normal"/>
              <w:jc w:val="center"/>
              <w:rPr/>
            </w:pPr>
            <w:r>
              <w:rPr/>
              <w:t>69</w:t>
            </w:r>
          </w:p>
        </w:tc>
      </w:tr>
      <w:tr>
        <w:trPr/>
        <w:tc>
          <w:tcPr>
            <w:tcW w:w="954" w:type="dxa"/>
            <w:tcBorders/>
          </w:tcPr>
          <w:p>
            <w:pPr>
              <w:pStyle w:val="Normal"/>
              <w:rPr/>
            </w:pPr>
            <w:r>
              <w:rPr/>
              <w:t>Apr</w:t>
            </w:r>
          </w:p>
        </w:tc>
        <w:tc>
          <w:tcPr>
            <w:tcW w:w="990" w:type="dxa"/>
            <w:tcBorders/>
          </w:tcPr>
          <w:p>
            <w:pPr>
              <w:pStyle w:val="Normal"/>
              <w:jc w:val="center"/>
              <w:rPr/>
            </w:pPr>
            <w:r>
              <w:rPr/>
              <w:t>65</w:t>
            </w:r>
          </w:p>
        </w:tc>
        <w:tc>
          <w:tcPr>
            <w:tcW w:w="810" w:type="dxa"/>
            <w:tcBorders/>
          </w:tcPr>
          <w:p>
            <w:pPr>
              <w:pStyle w:val="Normal"/>
              <w:jc w:val="center"/>
              <w:rPr/>
            </w:pPr>
            <w:r>
              <w:rPr/>
              <w:t>69</w:t>
            </w:r>
          </w:p>
        </w:tc>
      </w:tr>
      <w:tr>
        <w:trPr/>
        <w:tc>
          <w:tcPr>
            <w:tcW w:w="954" w:type="dxa"/>
            <w:tcBorders/>
          </w:tcPr>
          <w:p>
            <w:pPr>
              <w:pStyle w:val="Normal"/>
              <w:rPr/>
            </w:pPr>
            <w:r>
              <w:rPr/>
              <w:t>May</w:t>
            </w:r>
          </w:p>
        </w:tc>
        <w:tc>
          <w:tcPr>
            <w:tcW w:w="990" w:type="dxa"/>
            <w:tcBorders/>
          </w:tcPr>
          <w:p>
            <w:pPr>
              <w:pStyle w:val="Normal"/>
              <w:jc w:val="center"/>
              <w:rPr/>
            </w:pPr>
            <w:r>
              <w:rPr/>
              <w:t>65</w:t>
            </w:r>
          </w:p>
        </w:tc>
        <w:tc>
          <w:tcPr>
            <w:tcW w:w="810" w:type="dxa"/>
            <w:tcBorders/>
          </w:tcPr>
          <w:p>
            <w:pPr>
              <w:pStyle w:val="Normal"/>
              <w:jc w:val="center"/>
              <w:rPr/>
            </w:pPr>
            <w:r>
              <w:rPr/>
              <w:t>81</w:t>
            </w:r>
          </w:p>
        </w:tc>
      </w:tr>
      <w:tr>
        <w:trPr/>
        <w:tc>
          <w:tcPr>
            <w:tcW w:w="954" w:type="dxa"/>
            <w:tcBorders/>
          </w:tcPr>
          <w:p>
            <w:pPr>
              <w:pStyle w:val="Normal"/>
              <w:rPr/>
            </w:pPr>
            <w:r>
              <w:rPr/>
              <w:t>Jun</w:t>
            </w:r>
          </w:p>
        </w:tc>
        <w:tc>
          <w:tcPr>
            <w:tcW w:w="990" w:type="dxa"/>
            <w:tcBorders/>
          </w:tcPr>
          <w:p>
            <w:pPr>
              <w:pStyle w:val="Normal"/>
              <w:jc w:val="center"/>
              <w:rPr/>
            </w:pPr>
            <w:r>
              <w:rPr/>
              <w:t>58</w:t>
            </w:r>
          </w:p>
        </w:tc>
        <w:tc>
          <w:tcPr>
            <w:tcW w:w="810" w:type="dxa"/>
            <w:tcBorders/>
          </w:tcPr>
          <w:p>
            <w:pPr>
              <w:pStyle w:val="Normal"/>
              <w:jc w:val="center"/>
              <w:rPr/>
            </w:pPr>
            <w:r>
              <w:rPr/>
              <w:t>n/a</w:t>
            </w:r>
          </w:p>
        </w:tc>
      </w:tr>
      <w:tr>
        <w:trPr/>
        <w:tc>
          <w:tcPr>
            <w:tcW w:w="954" w:type="dxa"/>
            <w:tcBorders/>
          </w:tcPr>
          <w:p>
            <w:pPr>
              <w:pStyle w:val="Normal"/>
              <w:rPr/>
            </w:pPr>
            <w:r>
              <w:rPr/>
              <w:t>Jul</w:t>
            </w:r>
          </w:p>
        </w:tc>
        <w:tc>
          <w:tcPr>
            <w:tcW w:w="990" w:type="dxa"/>
            <w:tcBorders/>
          </w:tcPr>
          <w:p>
            <w:pPr>
              <w:pStyle w:val="Normal"/>
              <w:jc w:val="center"/>
              <w:rPr/>
            </w:pPr>
            <w:r>
              <w:rPr/>
              <w:t>57</w:t>
            </w:r>
          </w:p>
        </w:tc>
        <w:tc>
          <w:tcPr>
            <w:tcW w:w="810" w:type="dxa"/>
            <w:tcBorders/>
          </w:tcPr>
          <w:p>
            <w:pPr>
              <w:pStyle w:val="Normal"/>
              <w:jc w:val="center"/>
              <w:rPr/>
            </w:pPr>
            <w:r>
              <w:rPr/>
              <w:t>n/a</w:t>
            </w:r>
          </w:p>
        </w:tc>
      </w:tr>
      <w:tr>
        <w:trPr/>
        <w:tc>
          <w:tcPr>
            <w:tcW w:w="954" w:type="dxa"/>
            <w:tcBorders>
              <w:bottom w:val="single" w:sz="12" w:space="0" w:color="008000"/>
            </w:tcBorders>
          </w:tcPr>
          <w:p>
            <w:pPr>
              <w:pStyle w:val="Normal"/>
              <w:rPr/>
            </w:pPr>
            <w:r>
              <w:rPr/>
              <w:t>Aug</w:t>
            </w:r>
          </w:p>
        </w:tc>
        <w:tc>
          <w:tcPr>
            <w:tcW w:w="990" w:type="dxa"/>
            <w:tcBorders>
              <w:bottom w:val="single" w:sz="12" w:space="0" w:color="008000"/>
            </w:tcBorders>
          </w:tcPr>
          <w:p>
            <w:pPr>
              <w:pStyle w:val="Normal"/>
              <w:jc w:val="center"/>
              <w:rPr/>
            </w:pPr>
            <w:r>
              <w:rPr/>
              <w:t>55</w:t>
            </w:r>
          </w:p>
        </w:tc>
        <w:tc>
          <w:tcPr>
            <w:tcW w:w="810" w:type="dxa"/>
            <w:tcBorders>
              <w:bottom w:val="single" w:sz="12" w:space="0" w:color="008000"/>
            </w:tcBorders>
          </w:tcPr>
          <w:p>
            <w:pPr>
              <w:pStyle w:val="Normal"/>
              <w:jc w:val="center"/>
              <w:rPr/>
            </w:pPr>
            <w:r>
              <w:rPr/>
              <w:t>n/a</w:t>
            </w:r>
          </w:p>
        </w:tc>
      </w:tr>
    </w:tbl>
    <w:p>
      <w:pPr>
        <w:pStyle w:val="Normal"/>
        <w:ind w:start="360" w:end="0"/>
        <w:rPr/>
      </w:pPr>
      <w:r>
        <w:rPr/>
      </w:r>
    </w:p>
    <w:p>
      <w:pPr>
        <w:pStyle w:val="Normal"/>
        <w:numPr>
          <w:ilvl w:val="0"/>
          <w:numId w:val="1"/>
        </w:numPr>
        <w:tabs>
          <w:tab w:val="left" w:pos="720" w:leader="none"/>
        </w:tabs>
        <w:ind w:hanging="360" w:start="720" w:end="0"/>
        <w:rPr>
          <w:b/>
          <w:i/>
          <w:i/>
        </w:rPr>
      </w:pPr>
      <w:r>
        <w:rPr>
          <w:b/>
          <w:i/>
        </w:rPr>
        <w:t>Payments to DWR</w:t>
      </w:r>
    </w:p>
    <w:p>
      <w:pPr>
        <w:pStyle w:val="Normal"/>
        <w:ind w:start="360" w:end="0"/>
        <w:rPr/>
      </w:pPr>
      <w:r>
        <w:rPr/>
        <w:t>PG&amp;E considers the payments made to DWR are their "costs".  They are using the price first established by the CPUC in D01-03-081, a price of $64.71/MWh.</w:t>
      </w:r>
    </w:p>
    <w:p>
      <w:pPr>
        <w:pStyle w:val="Normal"/>
        <w:ind w:start="360" w:end="0"/>
        <w:rPr/>
      </w:pPr>
      <w:r>
        <w:rPr/>
      </w:r>
    </w:p>
    <w:p>
      <w:pPr>
        <w:pStyle w:val="Normal"/>
        <w:ind w:start="360" w:end="0"/>
        <w:rPr/>
      </w:pPr>
      <w:r>
        <w:rPr/>
        <w:t>[Note:</w:t>
      </w:r>
    </w:p>
    <w:p>
      <w:pPr>
        <w:pStyle w:val="Normal"/>
        <w:ind w:start="360" w:end="0"/>
        <w:rPr/>
      </w:pPr>
      <w:r>
        <w:rPr/>
        <w:t xml:space="preserve">This price was </w:t>
      </w:r>
      <w:r>
        <w:rPr>
          <w:u w:val="single"/>
        </w:rPr>
        <w:t>before</w:t>
      </w:r>
      <w:r>
        <w:rPr/>
        <w:t xml:space="preserve"> the 3-cent surcharge was added.  In that decision (D01-05-064), the CPUC ordered the utilities toswitch to the "more precise" method of calculating payments to DWR.  Utilities are to use the method of calculating generation costs, but are to use the precise, rate-specific generation costs as a base.]</w:t>
      </w:r>
    </w:p>
    <w:p>
      <w:pPr>
        <w:pStyle w:val="Normal"/>
        <w:ind w:start="360" w:end="0"/>
        <w:rPr/>
      </w:pPr>
      <w:r>
        <w:rPr/>
      </w:r>
    </w:p>
    <w:p>
      <w:pPr>
        <w:pStyle w:val="Normal"/>
        <w:ind w:start="360" w:end="0"/>
        <w:rPr/>
      </w:pPr>
      <w:r>
        <w:rPr/>
        <w:t>PG&amp;E pays DWR the $64.71/MWh and then trues up the revenue owed to DWR based on the actual rate class specific rates.</w:t>
      </w:r>
    </w:p>
    <w:p>
      <w:pPr>
        <w:pStyle w:val="Normal"/>
        <w:ind w:start="360" w:end="0"/>
        <w:rPr/>
      </w:pPr>
      <w:r>
        <w:rPr/>
      </w:r>
    </w:p>
    <w:p>
      <w:pPr>
        <w:pStyle w:val="Normal"/>
        <w:ind w:start="360" w:end="0"/>
        <w:rPr/>
      </w:pPr>
      <w:r>
        <w:rPr/>
        <w:t xml:space="preserve">The </w:t>
      </w:r>
      <w:r>
        <w:rPr>
          <w:b/>
        </w:rPr>
        <w:t>Adjustments</w:t>
      </w:r>
      <w:r>
        <w:rPr/>
        <w:t xml:space="preserve"> were originally made to true-up for settlement and corrected trading values:</w:t>
      </w:r>
    </w:p>
    <w:p>
      <w:pPr>
        <w:pStyle w:val="Normal"/>
        <w:numPr>
          <w:ilvl w:val="0"/>
          <w:numId w:val="2"/>
        </w:numPr>
        <w:tabs>
          <w:tab w:val="left" w:pos="720" w:leader="none"/>
        </w:tabs>
        <w:ind w:hanging="360" w:start="720" w:end="0"/>
        <w:rPr/>
      </w:pPr>
      <w:r>
        <w:rPr/>
        <w:t>The 7-day adjustment was to add settlement costs.</w:t>
      </w:r>
    </w:p>
    <w:p>
      <w:pPr>
        <w:pStyle w:val="Normal"/>
        <w:ind w:start="720" w:end="0"/>
        <w:rPr/>
      </w:pPr>
      <w:r>
        <w:rPr/>
        <w:t>After April 6 (PG&amp;E declared bankruptcy), PG&amp;E stopped acknowledging costs from the ISO.  PG&amp;E made this decision on June 6, so PX credits after this date reflect the fact that no ISO-costs are included after April 6.  PG&amp;E does include grid management costs (GMC) from the ISO, but not imbalance costs.  They believe that the DWR will be responsible for these costs.</w:t>
      </w:r>
    </w:p>
    <w:p>
      <w:pPr>
        <w:pStyle w:val="Normal"/>
        <w:numPr>
          <w:ilvl w:val="0"/>
          <w:numId w:val="2"/>
        </w:numPr>
        <w:tabs>
          <w:tab w:val="left" w:pos="720" w:leader="none"/>
        </w:tabs>
        <w:ind w:hanging="360" w:start="720" w:end="0"/>
        <w:rPr/>
      </w:pPr>
      <w:r>
        <w:rPr/>
        <w:t>The 98-day adjustment was to true-up costs.</w:t>
      </w:r>
    </w:p>
    <w:p>
      <w:pPr>
        <w:pStyle w:val="Normal"/>
        <w:ind w:start="720" w:end="0"/>
        <w:rPr/>
      </w:pPr>
      <w:r>
        <w:rPr/>
        <w:t>PG&amp;E is using this adjustment mechanism to "true up" in the broadest sense.  Where they believe that previous PX credits over-estimated the costs, they then lower the current PX credit to compensate for that amount.</w:t>
      </w:r>
    </w:p>
    <w:p>
      <w:pPr>
        <w:pStyle w:val="Normal"/>
        <w:ind w:start="720" w:end="0"/>
        <w:rPr/>
      </w:pPr>
      <w:r>
        <w:rPr/>
      </w:r>
    </w:p>
    <w:p>
      <w:pPr>
        <w:pStyle w:val="Normal"/>
        <w:rPr/>
      </w:pPr>
      <w:r>
        <w:rPr/>
        <w:t xml:space="preserve">The PX credit is calculated on a </w:t>
      </w:r>
      <w:r>
        <w:rPr>
          <w:b/>
        </w:rPr>
        <w:t>utility-wide basis</w:t>
      </w:r>
      <w:r>
        <w:rPr/>
        <w:t>, i.e. the PX credit does not relate to the rate-specific generation-related rate, it may be more or less.</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683"/>
        <w:gridCol w:w="616"/>
        <w:gridCol w:w="979"/>
        <w:gridCol w:w="3655"/>
        <w:gridCol w:w="2923"/>
      </w:tblGrid>
      <w:tr>
        <w:trPr/>
        <w:tc>
          <w:tcPr>
            <w:tcW w:w="683" w:type="dxa"/>
            <w:tcBorders>
              <w:top w:val="single" w:sz="12" w:space="0" w:color="008000"/>
              <w:bottom w:val="single" w:sz="6" w:space="0" w:color="008000"/>
              <w:end w:val="dotted" w:sz="4" w:space="0" w:color="000000"/>
            </w:tcBorders>
          </w:tcPr>
          <w:p>
            <w:pPr>
              <w:pStyle w:val="Normal"/>
              <w:snapToGrid w:val="false"/>
              <w:rPr>
                <w:b/>
              </w:rPr>
            </w:pPr>
            <w:r>
              <w:rPr>
                <w:b/>
              </w:rPr>
            </w:r>
          </w:p>
        </w:tc>
        <w:tc>
          <w:tcPr>
            <w:tcW w:w="616" w:type="dxa"/>
            <w:tcBorders>
              <w:top w:val="single" w:sz="12" w:space="0" w:color="008000"/>
              <w:bottom w:val="single" w:sz="6" w:space="0" w:color="008000"/>
              <w:end w:val="dotted" w:sz="4" w:space="0" w:color="000000"/>
            </w:tcBorders>
          </w:tcPr>
          <w:p>
            <w:pPr>
              <w:pStyle w:val="Normal"/>
              <w:jc w:val="center"/>
              <w:rPr>
                <w:b/>
              </w:rPr>
            </w:pPr>
            <w:r>
              <w:rPr>
                <w:b/>
              </w:rPr>
              <w:t>FM</w:t>
            </w:r>
          </w:p>
        </w:tc>
        <w:tc>
          <w:tcPr>
            <w:tcW w:w="979" w:type="dxa"/>
            <w:tcBorders>
              <w:top w:val="single" w:sz="12" w:space="0" w:color="008000"/>
              <w:bottom w:val="single" w:sz="6" w:space="0" w:color="008000"/>
              <w:end w:val="dotted" w:sz="4" w:space="0" w:color="000000"/>
            </w:tcBorders>
          </w:tcPr>
          <w:p>
            <w:pPr>
              <w:pStyle w:val="Normal"/>
              <w:jc w:val="center"/>
              <w:rPr>
                <w:b/>
              </w:rPr>
            </w:pPr>
            <w:r>
              <w:rPr>
                <w:b/>
              </w:rPr>
              <w:t>FM plus adj.</w:t>
            </w:r>
          </w:p>
        </w:tc>
        <w:tc>
          <w:tcPr>
            <w:tcW w:w="3655" w:type="dxa"/>
            <w:tcBorders>
              <w:top w:val="single" w:sz="12" w:space="0" w:color="008000"/>
              <w:bottom w:val="single" w:sz="6" w:space="0" w:color="008000"/>
              <w:end w:val="dotted" w:sz="4" w:space="0" w:color="000000"/>
            </w:tcBorders>
          </w:tcPr>
          <w:p>
            <w:pPr>
              <w:pStyle w:val="Normal"/>
              <w:rPr>
                <w:b/>
              </w:rPr>
            </w:pPr>
            <w:r>
              <w:rPr>
                <w:b/>
              </w:rPr>
              <w:t>Comment on FM only</w:t>
            </w:r>
          </w:p>
        </w:tc>
        <w:tc>
          <w:tcPr>
            <w:tcW w:w="2923" w:type="dxa"/>
            <w:tcBorders>
              <w:top w:val="single" w:sz="12" w:space="0" w:color="008000"/>
              <w:bottom w:val="single" w:sz="6" w:space="0" w:color="008000"/>
            </w:tcBorders>
          </w:tcPr>
          <w:p>
            <w:pPr>
              <w:pStyle w:val="Normal"/>
              <w:rPr>
                <w:b/>
              </w:rPr>
            </w:pPr>
            <w:r>
              <w:rPr>
                <w:b/>
              </w:rPr>
              <w:t>Comment on Adjustments</w:t>
            </w:r>
          </w:p>
        </w:tc>
      </w:tr>
      <w:tr>
        <w:trPr/>
        <w:tc>
          <w:tcPr>
            <w:tcW w:w="683" w:type="dxa"/>
            <w:tcBorders>
              <w:bottom w:val="single" w:sz="4" w:space="0" w:color="000000"/>
              <w:end w:val="dotted" w:sz="4" w:space="0" w:color="000000"/>
            </w:tcBorders>
          </w:tcPr>
          <w:p>
            <w:pPr>
              <w:pStyle w:val="Normal"/>
              <w:rPr>
                <w:b/>
              </w:rPr>
            </w:pPr>
            <w:r>
              <w:rPr>
                <w:b/>
              </w:rPr>
              <w:t>Jan</w:t>
            </w:r>
          </w:p>
        </w:tc>
        <w:tc>
          <w:tcPr>
            <w:tcW w:w="616" w:type="dxa"/>
            <w:tcBorders>
              <w:bottom w:val="single" w:sz="4" w:space="0" w:color="000000"/>
              <w:end w:val="dotted" w:sz="4" w:space="0" w:color="000000"/>
            </w:tcBorders>
          </w:tcPr>
          <w:p>
            <w:pPr>
              <w:pStyle w:val="Normal"/>
              <w:jc w:val="center"/>
              <w:rPr/>
            </w:pPr>
            <w:r>
              <w:rPr/>
              <w:t>227</w:t>
            </w:r>
          </w:p>
        </w:tc>
        <w:tc>
          <w:tcPr>
            <w:tcW w:w="979" w:type="dxa"/>
            <w:tcBorders>
              <w:bottom w:val="single" w:sz="4" w:space="0" w:color="000000"/>
              <w:end w:val="dotted" w:sz="4" w:space="0" w:color="000000"/>
            </w:tcBorders>
          </w:tcPr>
          <w:p>
            <w:pPr>
              <w:pStyle w:val="Normal"/>
              <w:jc w:val="center"/>
              <w:rPr/>
            </w:pPr>
            <w:r>
              <w:rPr/>
              <w:t>213</w:t>
            </w:r>
          </w:p>
        </w:tc>
        <w:tc>
          <w:tcPr>
            <w:tcW w:w="3655" w:type="dxa"/>
            <w:tcBorders>
              <w:bottom w:val="single" w:sz="4" w:space="0" w:color="000000"/>
              <w:end w:val="dotted" w:sz="4" w:space="0" w:color="000000"/>
            </w:tcBorders>
          </w:tcPr>
          <w:p>
            <w:pPr>
              <w:pStyle w:val="Normal"/>
              <w:rPr/>
            </w:pPr>
            <w:r>
              <w:rPr/>
              <w:t>Used market price for first part of month.  Jan 19 on, used $150 for DWR and PG&amp;E resources.</w:t>
            </w:r>
          </w:p>
        </w:tc>
        <w:tc>
          <w:tcPr>
            <w:tcW w:w="2923" w:type="dxa"/>
            <w:tcBorders>
              <w:bottom w:val="single" w:sz="4" w:space="0" w:color="000000"/>
            </w:tcBorders>
          </w:tcPr>
          <w:p>
            <w:pPr>
              <w:pStyle w:val="Normal"/>
              <w:snapToGrid w:val="false"/>
              <w:rPr/>
            </w:pPr>
            <w:r>
              <w:rPr/>
            </w:r>
          </w:p>
        </w:tc>
      </w:tr>
      <w:tr>
        <w:trPr/>
        <w:tc>
          <w:tcPr>
            <w:tcW w:w="683" w:type="dxa"/>
            <w:tcBorders>
              <w:top w:val="single" w:sz="4" w:space="0" w:color="000000"/>
              <w:bottom w:val="single" w:sz="4" w:space="0" w:color="000000"/>
              <w:end w:val="dotted" w:sz="4" w:space="0" w:color="000000"/>
            </w:tcBorders>
          </w:tcPr>
          <w:p>
            <w:pPr>
              <w:pStyle w:val="Normal"/>
              <w:rPr>
                <w:b/>
              </w:rPr>
            </w:pPr>
            <w:r>
              <w:rPr>
                <w:b/>
              </w:rPr>
              <w:t>Feb</w:t>
            </w:r>
          </w:p>
        </w:tc>
        <w:tc>
          <w:tcPr>
            <w:tcW w:w="616" w:type="dxa"/>
            <w:tcBorders>
              <w:top w:val="single" w:sz="4" w:space="0" w:color="000000"/>
              <w:bottom w:val="single" w:sz="4" w:space="0" w:color="000000"/>
              <w:end w:val="dotted" w:sz="4" w:space="0" w:color="000000"/>
            </w:tcBorders>
          </w:tcPr>
          <w:p>
            <w:pPr>
              <w:pStyle w:val="Normal"/>
              <w:jc w:val="center"/>
              <w:rPr/>
            </w:pPr>
            <w:r>
              <w:rPr/>
              <w:t>149</w:t>
            </w:r>
          </w:p>
        </w:tc>
        <w:tc>
          <w:tcPr>
            <w:tcW w:w="979" w:type="dxa"/>
            <w:tcBorders>
              <w:top w:val="single" w:sz="4" w:space="0" w:color="000000"/>
              <w:bottom w:val="single" w:sz="4" w:space="0" w:color="000000"/>
              <w:end w:val="dotted" w:sz="4" w:space="0" w:color="000000"/>
            </w:tcBorders>
          </w:tcPr>
          <w:p>
            <w:pPr>
              <w:pStyle w:val="Normal"/>
              <w:jc w:val="center"/>
              <w:rPr/>
            </w:pPr>
            <w:r>
              <w:rPr/>
              <w:t>196</w:t>
            </w:r>
          </w:p>
        </w:tc>
        <w:tc>
          <w:tcPr>
            <w:tcW w:w="3655" w:type="dxa"/>
            <w:tcBorders>
              <w:top w:val="single" w:sz="4" w:space="0" w:color="000000"/>
              <w:bottom w:val="single" w:sz="4" w:space="0" w:color="000000"/>
              <w:end w:val="dotted" w:sz="4" w:space="0" w:color="000000"/>
            </w:tcBorders>
          </w:tcPr>
          <w:p>
            <w:pPr>
              <w:pStyle w:val="Normal"/>
              <w:rPr/>
            </w:pPr>
            <w:r>
              <w:rPr/>
              <w:t>Used $150 all month.</w:t>
            </w:r>
          </w:p>
        </w:tc>
        <w:tc>
          <w:tcPr>
            <w:tcW w:w="2923" w:type="dxa"/>
            <w:tcBorders>
              <w:top w:val="single" w:sz="4" w:space="0" w:color="000000"/>
              <w:bottom w:val="single" w:sz="4" w:space="0" w:color="000000"/>
            </w:tcBorders>
          </w:tcPr>
          <w:p>
            <w:pPr>
              <w:pStyle w:val="Normal"/>
              <w:snapToGrid w:val="false"/>
              <w:rPr/>
            </w:pPr>
            <w:r>
              <w:rPr/>
            </w:r>
          </w:p>
        </w:tc>
      </w:tr>
      <w:tr>
        <w:trPr/>
        <w:tc>
          <w:tcPr>
            <w:tcW w:w="683" w:type="dxa"/>
            <w:tcBorders>
              <w:top w:val="single" w:sz="4" w:space="0" w:color="000000"/>
              <w:bottom w:val="single" w:sz="4" w:space="0" w:color="000000"/>
              <w:end w:val="dotted" w:sz="4" w:space="0" w:color="000000"/>
            </w:tcBorders>
          </w:tcPr>
          <w:p>
            <w:pPr>
              <w:pStyle w:val="Normal"/>
              <w:rPr>
                <w:b/>
              </w:rPr>
            </w:pPr>
            <w:r>
              <w:rPr>
                <w:b/>
              </w:rPr>
              <w:t>Mar</w:t>
            </w:r>
          </w:p>
        </w:tc>
        <w:tc>
          <w:tcPr>
            <w:tcW w:w="616" w:type="dxa"/>
            <w:tcBorders>
              <w:top w:val="single" w:sz="4" w:space="0" w:color="000000"/>
              <w:bottom w:val="single" w:sz="4" w:space="0" w:color="000000"/>
              <w:end w:val="dotted" w:sz="4" w:space="0" w:color="000000"/>
            </w:tcBorders>
          </w:tcPr>
          <w:p>
            <w:pPr>
              <w:pStyle w:val="Normal"/>
              <w:jc w:val="center"/>
              <w:rPr/>
            </w:pPr>
            <w:r>
              <w:rPr/>
              <w:t>90</w:t>
            </w:r>
          </w:p>
        </w:tc>
        <w:tc>
          <w:tcPr>
            <w:tcW w:w="979" w:type="dxa"/>
            <w:tcBorders>
              <w:top w:val="single" w:sz="4" w:space="0" w:color="000000"/>
              <w:bottom w:val="single" w:sz="4" w:space="0" w:color="000000"/>
              <w:end w:val="dotted" w:sz="4" w:space="0" w:color="000000"/>
            </w:tcBorders>
          </w:tcPr>
          <w:p>
            <w:pPr>
              <w:pStyle w:val="Normal"/>
              <w:jc w:val="center"/>
              <w:rPr/>
            </w:pPr>
            <w:r>
              <w:rPr/>
              <w:t>159</w:t>
            </w:r>
          </w:p>
        </w:tc>
        <w:tc>
          <w:tcPr>
            <w:tcW w:w="3655" w:type="dxa"/>
            <w:tcBorders>
              <w:top w:val="single" w:sz="4" w:space="0" w:color="000000"/>
              <w:bottom w:val="single" w:sz="4" w:space="0" w:color="000000"/>
              <w:end w:val="dotted" w:sz="4" w:space="0" w:color="000000"/>
            </w:tcBorders>
          </w:tcPr>
          <w:p>
            <w:pPr>
              <w:pStyle w:val="Normal"/>
              <w:rPr/>
            </w:pPr>
            <w:r>
              <w:rPr/>
              <w:t>DWR-portion may be at imbalance price</w:t>
            </w:r>
          </w:p>
        </w:tc>
        <w:tc>
          <w:tcPr>
            <w:tcW w:w="2923" w:type="dxa"/>
            <w:tcBorders>
              <w:top w:val="single" w:sz="4" w:space="0" w:color="000000"/>
              <w:bottom w:val="single" w:sz="4" w:space="0" w:color="000000"/>
            </w:tcBorders>
          </w:tcPr>
          <w:p>
            <w:pPr>
              <w:pStyle w:val="Normal"/>
              <w:snapToGrid w:val="false"/>
              <w:rPr/>
            </w:pPr>
            <w:r>
              <w:rPr/>
            </w:r>
          </w:p>
        </w:tc>
      </w:tr>
      <w:tr>
        <w:trPr/>
        <w:tc>
          <w:tcPr>
            <w:tcW w:w="683" w:type="dxa"/>
            <w:tcBorders>
              <w:top w:val="single" w:sz="4" w:space="0" w:color="000000"/>
              <w:bottom w:val="single" w:sz="4" w:space="0" w:color="000000"/>
              <w:end w:val="dotted" w:sz="4" w:space="0" w:color="000000"/>
            </w:tcBorders>
          </w:tcPr>
          <w:p>
            <w:pPr>
              <w:pStyle w:val="Normal"/>
              <w:rPr>
                <w:b/>
              </w:rPr>
            </w:pPr>
            <w:r>
              <w:rPr>
                <w:b/>
              </w:rPr>
              <w:t>Apr</w:t>
            </w:r>
          </w:p>
        </w:tc>
        <w:tc>
          <w:tcPr>
            <w:tcW w:w="616" w:type="dxa"/>
            <w:tcBorders>
              <w:top w:val="single" w:sz="4" w:space="0" w:color="000000"/>
              <w:bottom w:val="single" w:sz="4" w:space="0" w:color="000000"/>
              <w:end w:val="dotted" w:sz="4" w:space="0" w:color="000000"/>
            </w:tcBorders>
          </w:tcPr>
          <w:p>
            <w:pPr>
              <w:pStyle w:val="Normal"/>
              <w:jc w:val="center"/>
              <w:rPr/>
            </w:pPr>
            <w:r>
              <w:rPr/>
              <w:t>67</w:t>
            </w:r>
          </w:p>
        </w:tc>
        <w:tc>
          <w:tcPr>
            <w:tcW w:w="979" w:type="dxa"/>
            <w:tcBorders>
              <w:top w:val="single" w:sz="4" w:space="0" w:color="000000"/>
              <w:bottom w:val="single" w:sz="4" w:space="0" w:color="000000"/>
              <w:end w:val="dotted" w:sz="4" w:space="0" w:color="000000"/>
            </w:tcBorders>
          </w:tcPr>
          <w:p>
            <w:pPr>
              <w:pStyle w:val="Normal"/>
              <w:jc w:val="center"/>
              <w:rPr/>
            </w:pPr>
            <w:r>
              <w:rPr/>
              <w:t>102</w:t>
            </w:r>
          </w:p>
        </w:tc>
        <w:tc>
          <w:tcPr>
            <w:tcW w:w="3655" w:type="dxa"/>
            <w:tcBorders>
              <w:top w:val="single" w:sz="4" w:space="0" w:color="000000"/>
              <w:bottom w:val="single" w:sz="4" w:space="0" w:color="000000"/>
              <w:end w:val="dotted" w:sz="4" w:space="0" w:color="000000"/>
            </w:tcBorders>
          </w:tcPr>
          <w:p>
            <w:pPr>
              <w:pStyle w:val="Normal"/>
              <w:rPr/>
            </w:pPr>
            <w:r>
              <w:rPr/>
              <w:t>No DWR costs included.</w:t>
            </w:r>
          </w:p>
        </w:tc>
        <w:tc>
          <w:tcPr>
            <w:tcW w:w="2923" w:type="dxa"/>
            <w:tcBorders>
              <w:top w:val="single" w:sz="4" w:space="0" w:color="000000"/>
              <w:bottom w:val="single" w:sz="4" w:space="0" w:color="000000"/>
            </w:tcBorders>
          </w:tcPr>
          <w:p>
            <w:pPr>
              <w:pStyle w:val="Normal"/>
              <w:snapToGrid w:val="false"/>
              <w:rPr/>
            </w:pPr>
            <w:r>
              <w:rPr/>
            </w:r>
          </w:p>
        </w:tc>
      </w:tr>
      <w:tr>
        <w:trPr/>
        <w:tc>
          <w:tcPr>
            <w:tcW w:w="683" w:type="dxa"/>
            <w:tcBorders>
              <w:top w:val="single" w:sz="4" w:space="0" w:color="000000"/>
              <w:bottom w:val="single" w:sz="4" w:space="0" w:color="000000"/>
              <w:end w:val="dotted" w:sz="4" w:space="0" w:color="000000"/>
            </w:tcBorders>
          </w:tcPr>
          <w:p>
            <w:pPr>
              <w:pStyle w:val="Normal"/>
              <w:rPr>
                <w:b/>
              </w:rPr>
            </w:pPr>
            <w:r>
              <w:rPr>
                <w:b/>
              </w:rPr>
              <w:t>May</w:t>
            </w:r>
          </w:p>
        </w:tc>
        <w:tc>
          <w:tcPr>
            <w:tcW w:w="616" w:type="dxa"/>
            <w:tcBorders>
              <w:top w:val="single" w:sz="4" w:space="0" w:color="000000"/>
              <w:bottom w:val="single" w:sz="4" w:space="0" w:color="000000"/>
              <w:end w:val="dotted" w:sz="4" w:space="0" w:color="000000"/>
            </w:tcBorders>
          </w:tcPr>
          <w:p>
            <w:pPr>
              <w:pStyle w:val="Normal"/>
              <w:jc w:val="center"/>
              <w:rPr/>
            </w:pPr>
            <w:r>
              <w:rPr/>
              <w:t>66</w:t>
            </w:r>
          </w:p>
        </w:tc>
        <w:tc>
          <w:tcPr>
            <w:tcW w:w="979" w:type="dxa"/>
            <w:tcBorders>
              <w:top w:val="single" w:sz="4" w:space="0" w:color="000000"/>
              <w:bottom w:val="single" w:sz="4" w:space="0" w:color="000000"/>
              <w:end w:val="dotted" w:sz="4" w:space="0" w:color="000000"/>
            </w:tcBorders>
          </w:tcPr>
          <w:p>
            <w:pPr>
              <w:pStyle w:val="Normal"/>
              <w:jc w:val="center"/>
              <w:rPr/>
            </w:pPr>
            <w:r>
              <w:rPr/>
              <w:t>40</w:t>
            </w:r>
          </w:p>
        </w:tc>
        <w:tc>
          <w:tcPr>
            <w:tcW w:w="3655" w:type="dxa"/>
            <w:tcBorders>
              <w:top w:val="single" w:sz="4" w:space="0" w:color="000000"/>
              <w:bottom w:val="single" w:sz="4" w:space="0" w:color="000000"/>
              <w:end w:val="dotted" w:sz="4" w:space="0" w:color="000000"/>
            </w:tcBorders>
          </w:tcPr>
          <w:p>
            <w:pPr>
              <w:pStyle w:val="Normal"/>
              <w:rPr/>
            </w:pPr>
            <w:r>
              <w:rPr/>
              <w:t>No DWR costs included.</w:t>
            </w:r>
          </w:p>
        </w:tc>
        <w:tc>
          <w:tcPr>
            <w:tcW w:w="2923" w:type="dxa"/>
            <w:tcBorders>
              <w:top w:val="single" w:sz="4" w:space="0" w:color="000000"/>
              <w:bottom w:val="single" w:sz="4" w:space="0" w:color="000000"/>
            </w:tcBorders>
          </w:tcPr>
          <w:p>
            <w:pPr>
              <w:pStyle w:val="Normal"/>
              <w:snapToGrid w:val="false"/>
              <w:rPr/>
            </w:pPr>
            <w:r>
              <w:rPr/>
            </w:r>
          </w:p>
        </w:tc>
      </w:tr>
      <w:tr>
        <w:trPr/>
        <w:tc>
          <w:tcPr>
            <w:tcW w:w="683" w:type="dxa"/>
            <w:tcBorders>
              <w:top w:val="single" w:sz="4" w:space="0" w:color="000000"/>
              <w:bottom w:val="single" w:sz="4" w:space="0" w:color="000000"/>
              <w:end w:val="dotted" w:sz="4" w:space="0" w:color="000000"/>
            </w:tcBorders>
          </w:tcPr>
          <w:p>
            <w:pPr>
              <w:pStyle w:val="Normal"/>
              <w:rPr>
                <w:b/>
              </w:rPr>
            </w:pPr>
            <w:r>
              <w:rPr>
                <w:b/>
              </w:rPr>
              <w:t>Jun</w:t>
            </w:r>
          </w:p>
        </w:tc>
        <w:tc>
          <w:tcPr>
            <w:tcW w:w="616" w:type="dxa"/>
            <w:tcBorders>
              <w:top w:val="single" w:sz="4" w:space="0" w:color="000000"/>
              <w:bottom w:val="single" w:sz="4" w:space="0" w:color="000000"/>
              <w:end w:val="dotted" w:sz="4" w:space="0" w:color="000000"/>
            </w:tcBorders>
          </w:tcPr>
          <w:p>
            <w:pPr>
              <w:pStyle w:val="Normal"/>
              <w:jc w:val="center"/>
              <w:rPr/>
            </w:pPr>
            <w:r>
              <w:rPr/>
              <w:t>62</w:t>
            </w:r>
          </w:p>
        </w:tc>
        <w:tc>
          <w:tcPr>
            <w:tcW w:w="979" w:type="dxa"/>
            <w:tcBorders>
              <w:top w:val="single" w:sz="4" w:space="0" w:color="000000"/>
              <w:bottom w:val="single" w:sz="4" w:space="0" w:color="000000"/>
              <w:end w:val="dotted" w:sz="4" w:space="0" w:color="000000"/>
            </w:tcBorders>
          </w:tcPr>
          <w:p>
            <w:pPr>
              <w:pStyle w:val="Normal"/>
              <w:jc w:val="center"/>
              <w:rPr/>
            </w:pPr>
            <w:r>
              <w:rPr/>
              <w:t>38</w:t>
            </w:r>
          </w:p>
        </w:tc>
        <w:tc>
          <w:tcPr>
            <w:tcW w:w="3655" w:type="dxa"/>
            <w:tcBorders>
              <w:top w:val="single" w:sz="4" w:space="0" w:color="000000"/>
              <w:bottom w:val="single" w:sz="4" w:space="0" w:color="000000"/>
              <w:end w:val="dotted" w:sz="4" w:space="0" w:color="000000"/>
            </w:tcBorders>
          </w:tcPr>
          <w:p>
            <w:pPr>
              <w:pStyle w:val="Normal"/>
              <w:rPr/>
            </w:pPr>
            <w:r>
              <w:rPr/>
              <w:t>Average in DWR at $64.71.</w:t>
            </w:r>
          </w:p>
        </w:tc>
        <w:tc>
          <w:tcPr>
            <w:tcW w:w="2923" w:type="dxa"/>
            <w:tcBorders>
              <w:top w:val="single" w:sz="4" w:space="0" w:color="000000"/>
              <w:bottom w:val="single" w:sz="4" w:space="0" w:color="000000"/>
            </w:tcBorders>
          </w:tcPr>
          <w:p>
            <w:pPr>
              <w:pStyle w:val="Normal"/>
              <w:rPr/>
            </w:pPr>
            <w:r>
              <w:rPr/>
              <w:t>Stopped including ISO costs.  Remove from previous months.</w:t>
            </w:r>
          </w:p>
        </w:tc>
      </w:tr>
      <w:tr>
        <w:trPr/>
        <w:tc>
          <w:tcPr>
            <w:tcW w:w="683" w:type="dxa"/>
            <w:tcBorders>
              <w:top w:val="single" w:sz="4" w:space="0" w:color="000000"/>
              <w:bottom w:val="single" w:sz="12" w:space="0" w:color="008000"/>
              <w:end w:val="dotted" w:sz="4" w:space="0" w:color="000000"/>
            </w:tcBorders>
          </w:tcPr>
          <w:p>
            <w:pPr>
              <w:pStyle w:val="Normal"/>
              <w:rPr>
                <w:b/>
              </w:rPr>
            </w:pPr>
            <w:r>
              <w:rPr>
                <w:b/>
              </w:rPr>
              <w:t>Jul</w:t>
            </w:r>
          </w:p>
        </w:tc>
        <w:tc>
          <w:tcPr>
            <w:tcW w:w="616" w:type="dxa"/>
            <w:tcBorders>
              <w:top w:val="single" w:sz="4" w:space="0" w:color="000000"/>
              <w:bottom w:val="single" w:sz="12" w:space="0" w:color="008000"/>
              <w:end w:val="dotted" w:sz="4" w:space="0" w:color="000000"/>
            </w:tcBorders>
          </w:tcPr>
          <w:p>
            <w:pPr>
              <w:pStyle w:val="Normal"/>
              <w:jc w:val="center"/>
              <w:rPr/>
            </w:pPr>
            <w:r>
              <w:rPr/>
              <w:t>57</w:t>
            </w:r>
          </w:p>
        </w:tc>
        <w:tc>
          <w:tcPr>
            <w:tcW w:w="979" w:type="dxa"/>
            <w:tcBorders>
              <w:top w:val="single" w:sz="4" w:space="0" w:color="000000"/>
              <w:bottom w:val="single" w:sz="12" w:space="0" w:color="008000"/>
              <w:end w:val="dotted" w:sz="4" w:space="0" w:color="000000"/>
            </w:tcBorders>
          </w:tcPr>
          <w:p>
            <w:pPr>
              <w:pStyle w:val="Normal"/>
              <w:jc w:val="center"/>
              <w:rPr/>
            </w:pPr>
            <w:r>
              <w:rPr/>
              <w:t>35</w:t>
            </w:r>
          </w:p>
        </w:tc>
        <w:tc>
          <w:tcPr>
            <w:tcW w:w="3655" w:type="dxa"/>
            <w:tcBorders>
              <w:top w:val="single" w:sz="4" w:space="0" w:color="000000"/>
              <w:bottom w:val="single" w:sz="12" w:space="0" w:color="008000"/>
              <w:end w:val="dotted" w:sz="4" w:space="0" w:color="000000"/>
            </w:tcBorders>
          </w:tcPr>
          <w:p>
            <w:pPr>
              <w:pStyle w:val="Normal"/>
              <w:rPr/>
            </w:pPr>
            <w:r>
              <w:rPr/>
              <w:t>Average in DWR at $64.71.</w:t>
            </w:r>
          </w:p>
        </w:tc>
        <w:tc>
          <w:tcPr>
            <w:tcW w:w="2923" w:type="dxa"/>
            <w:tcBorders>
              <w:top w:val="single" w:sz="4" w:space="0" w:color="000000"/>
              <w:bottom w:val="single" w:sz="12" w:space="0" w:color="008000"/>
            </w:tcBorders>
          </w:tcPr>
          <w:p>
            <w:pPr>
              <w:pStyle w:val="Normal"/>
              <w:snapToGrid w:val="false"/>
              <w:rPr/>
            </w:pPr>
            <w:r>
              <w:rPr/>
            </w:r>
          </w:p>
        </w:tc>
      </w:tr>
    </w:tbl>
    <w:p>
      <w:pPr>
        <w:pStyle w:val="Normal"/>
        <w:rPr/>
      </w:pPr>
      <w:r>
        <w:rPr/>
      </w:r>
    </w:p>
    <w:sectPr>
      <w:type w:val="nextPage"/>
      <w:pgSz w:w="12240" w:h="15840"/>
      <w:pgMar w:left="1800" w:right="180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5"/>
      <w:numFmt w:val="bullet"/>
      <w:lvlText w:val=""/>
      <w:lvlJc w:val="start"/>
      <w:pPr>
        <w:tabs>
          <w:tab w:val="num" w:pos="360"/>
        </w:tabs>
        <w:ind w:start="360" w:hanging="360"/>
      </w:pPr>
      <w:rPr>
        <w:rFonts w:ascii="Symbol" w:hAnsi="Symbol" w:cs="Symbol" w:hint="default"/>
      </w:rPr>
    </w:lvl>
  </w:abstractNum>
  <w:abstractNum w:abstractNumId="2">
    <w:lvl w:ilvl="0">
      <w:start w:val="5"/>
      <w:numFmt w:val="bullet"/>
      <w:lvlText w:val=""/>
      <w:lvlJc w:val="start"/>
      <w:pPr>
        <w:tabs>
          <w:tab w:val="num" w:pos="360"/>
        </w:tabs>
        <w:ind w:start="360" w:hanging="360"/>
      </w:pPr>
      <w:rPr>
        <w:rFonts w:ascii="Symbol" w:hAnsi="Symbol" w:cs="Symbol" w:hint="default"/>
      </w:rPr>
    </w:lvl>
  </w:abstractNum>
  <w:abstractNum w:abstractNumId="3">
    <w:lvl w:ilvl="0">
      <w:start w:val="5"/>
      <w:numFmt w:val="bullet"/>
      <w:lvlText w:val=""/>
      <w:lvlJc w:val="start"/>
      <w:pPr>
        <w:tabs>
          <w:tab w:val="num" w:pos="360"/>
        </w:tabs>
        <w:ind w:start="360" w:hanging="360"/>
      </w:pPr>
      <w:rPr>
        <w:rFonts w:ascii="Symbol" w:hAnsi="Symbol" w:cs="Symbol" w:hint="default"/>
      </w:rPr>
    </w:lvl>
  </w:abstractNum>
  <w:abstractNum w:abstractNumId="4">
    <w:lvl w:ilvl="0">
      <w:start w:val="5"/>
      <w:numFmt w:val="bullet"/>
      <w:lvlText w:val=""/>
      <w:lvlJc w:val="start"/>
      <w:pPr>
        <w:tabs>
          <w:tab w:val="num" w:pos="360"/>
        </w:tabs>
        <w:ind w:start="360" w:hanging="360"/>
      </w:pPr>
      <w:rPr>
        <w:rFonts w:ascii="Symbol" w:hAnsi="Symbol" w:cs="Symbol" w:hint="default"/>
      </w:rPr>
    </w:lvl>
  </w:abstractNum>
  <w:abstractNum w:abstractNumId="5">
    <w:lvl w:ilvl="0">
      <w:start w:val="5"/>
      <w:numFmt w:val="bullet"/>
      <w:lvlText w:val=""/>
      <w:lvlJc w:val="start"/>
      <w:pPr>
        <w:tabs>
          <w:tab w:val="num" w:pos="360"/>
        </w:tabs>
        <w:ind w:start="360" w:hanging="360"/>
      </w:pPr>
      <w:rPr>
        <w:rFonts w:ascii="Symbol" w:hAnsi="Symbol" w:cs="Symbol" w:hint="default"/>
      </w:rPr>
    </w:lvl>
  </w:abstractNum>
  <w:abstractNum w:abstractNumId="6">
    <w:lvl w:ilvl="0">
      <w:start w:val="5"/>
      <w:numFmt w:val="bullet"/>
      <w:lvlText w:val=""/>
      <w:lvlJc w:val="start"/>
      <w:pPr>
        <w:tabs>
          <w:tab w:val="num" w:pos="360"/>
        </w:tabs>
        <w:ind w:start="360" w:hanging="360"/>
      </w:pPr>
      <w:rPr>
        <w:rFonts w:ascii="Symbol" w:hAnsi="Symbol" w:cs="Symbol" w:hint="default"/>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2001-08-07T12:33:00Z</dcterms:created>
  <dc:creator>Tamara Johnson</dc:creator>
  <dc:description/>
  <dc:language>en-CA</dc:language>
  <cp:lastModifiedBy>Tamara Johnson</cp:lastModifiedBy>
  <dcterms:modified xsi:type="dcterms:W3CDTF">2001-08-07T18:57:00Z</dcterms:modified>
  <cp:revision>22</cp:revision>
  <dc:subject/>
  <dc:title>PX Credit Calculation</dc:title>
</cp:coreProperties>
</file>