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January 31, 2001</w:t>
      </w:r>
    </w:p>
    <w:p>
      <w:pPr>
        <w:pStyle w:val="Normal"/>
        <w:rPr/>
      </w:pPr>
      <w:r>
        <w:rPr/>
      </w:r>
    </w:p>
    <w:p>
      <w:pPr>
        <w:pStyle w:val="BodyText"/>
        <w:rPr/>
      </w:pPr>
      <w:r>
        <w:rPr/>
        <w:t xml:space="preserve">By now you have probably heard that Southern California Edison (“Edison”) failed to make a $214 million payment to the California Power Exchange (“PX”) for its December 2000 purchases.  As a result, the PX has passed SCE’s default through as a charge-back to all PX Market Participants that made any sales into the PX during the period of October 1, 2000 through January 7, 2001 (“ PX Sellers”).  Enron Power Marketing, Inc. (“EPMI”) received a significantly reduced payment for December energy sales.  As a result of this situation, for all PX-indexed sales for December, EPMI initially will be paying clients for whom it provides Scheduling Coordinator (SC) Services 78% of what they would have been paid had EPMI not been short paid.  Importantly, this amount will change as events in California unfold. </w:t>
      </w:r>
    </w:p>
    <w:p>
      <w:pPr>
        <w:pStyle w:val="BodyText"/>
        <w:rPr/>
      </w:pPr>
      <w:r>
        <w:rPr/>
      </w:r>
    </w:p>
    <w:p>
      <w:pPr>
        <w:pStyle w:val="BodyText"/>
        <w:rPr/>
      </w:pPr>
      <w:r>
        <w:rPr/>
        <w:t xml:space="preserve">As a Scheduling Coordinator, EPMI passes through costs incurred, and revenues received, on behalf of our clients.  Our contracts did not envision EPMI being at risk for payments made by the California Power Exchange and California Independent System Operator (ISO).  The short payments by the PX can be viewed as either a reduction in the PX Market Clearing Price (MCP) or a cost to you.  We fully intend to remit any additional amounts to our clients should these be received by EPMI.  There also is a possibility that the situation could get worse, however.  For example, the current payment from EPMI to our customers for December could be determined to have been too large.  Ultimately, however, we believe that you will benefit by contracting with EPMI to sell your energy as opposed to the benchmark of selling to the PX. </w:t>
      </w:r>
    </w:p>
    <w:p>
      <w:pPr>
        <w:pStyle w:val="BodyText"/>
        <w:rPr/>
      </w:pPr>
      <w:r>
        <w:rPr/>
      </w:r>
    </w:p>
    <w:p>
      <w:pPr>
        <w:pStyle w:val="BodyText"/>
        <w:rPr>
          <w:u w:val="single"/>
        </w:rPr>
      </w:pPr>
      <w:r>
        <w:rPr>
          <w:u w:val="single"/>
        </w:rPr>
        <w:t>PX Methodology</w:t>
      </w:r>
    </w:p>
    <w:p>
      <w:pPr>
        <w:pStyle w:val="BodyText"/>
        <w:rPr>
          <w:u w:val="single"/>
        </w:rPr>
      </w:pPr>
      <w:r>
        <w:rPr>
          <w:u w:val="single"/>
        </w:rPr>
      </w:r>
    </w:p>
    <w:p>
      <w:pPr>
        <w:pStyle w:val="BodyText"/>
        <w:rPr/>
      </w:pPr>
      <w:r>
        <w:rPr/>
        <w:t>The PX has allocated SCE’s default as follows:</w:t>
      </w:r>
    </w:p>
    <w:p>
      <w:pPr>
        <w:pStyle w:val="BodyText"/>
        <w:numPr>
          <w:ilvl w:val="0"/>
          <w:numId w:val="2"/>
        </w:numPr>
        <w:rPr/>
      </w:pPr>
      <w:r>
        <w:rPr/>
        <w:t>Total MWhrs sold to the PX from October 1, 2000 to January 7, 2001 is calculated for each Market Participant selling energy to the PX.  Let’s call this Amount A.</w:t>
      </w:r>
    </w:p>
    <w:p>
      <w:pPr>
        <w:pStyle w:val="BodyText"/>
        <w:numPr>
          <w:ilvl w:val="0"/>
          <w:numId w:val="2"/>
        </w:numPr>
        <w:rPr/>
      </w:pPr>
      <w:r>
        <w:rPr/>
        <w:t>This Amount A is divided by the Total MWhrs sold to the PX by all Market participants for the same time periods to determine a market share for each market participant.  This market share is multiplied by the total amount of SCE’s default by the PX to determine the share of such under collection owed by each Market Participant.</w:t>
      </w:r>
    </w:p>
    <w:p>
      <w:pPr>
        <w:pStyle w:val="BodyText"/>
        <w:rPr/>
      </w:pPr>
      <w:r>
        <w:rPr/>
      </w:r>
    </w:p>
    <w:p>
      <w:pPr>
        <w:pStyle w:val="BodyText"/>
        <w:rPr>
          <w:u w:val="single"/>
        </w:rPr>
      </w:pPr>
      <w:r>
        <w:rPr>
          <w:u w:val="single"/>
        </w:rPr>
        <w:t>EPMI Methodology</w:t>
      </w:r>
    </w:p>
    <w:p>
      <w:pPr>
        <w:pStyle w:val="BodyText"/>
        <w:rPr>
          <w:u w:val="single"/>
        </w:rPr>
      </w:pPr>
      <w:r>
        <w:rPr>
          <w:u w:val="single"/>
        </w:rPr>
      </w:r>
    </w:p>
    <w:p>
      <w:pPr>
        <w:pStyle w:val="BodyText"/>
        <w:rPr/>
      </w:pPr>
      <w:r>
        <w:rPr/>
        <w:t>For each hour from October 1, 2000, 2000 through January 7, 2001:</w:t>
      </w:r>
    </w:p>
    <w:p>
      <w:pPr>
        <w:pStyle w:val="BodyText"/>
        <w:rPr/>
      </w:pPr>
      <w:r>
        <w:rPr/>
      </w:r>
    </w:p>
    <w:p>
      <w:pPr>
        <w:pStyle w:val="BodyText"/>
        <w:numPr>
          <w:ilvl w:val="0"/>
          <w:numId w:val="2"/>
        </w:numPr>
        <w:ind w:hanging="360" w:start="720" w:end="0"/>
        <w:rPr/>
      </w:pPr>
      <w:r>
        <w:rPr/>
        <w:t>Amount A is the final EPMI day-ahead schedule (MWhrs) to the PX.</w:t>
      </w:r>
    </w:p>
    <w:p>
      <w:pPr>
        <w:pStyle w:val="BodyText"/>
        <w:numPr>
          <w:ilvl w:val="0"/>
          <w:numId w:val="2"/>
        </w:numPr>
        <w:ind w:hanging="360" w:start="720" w:end="0"/>
        <w:rPr/>
      </w:pPr>
      <w:r>
        <w:rPr/>
        <w:t>Amount B is the sum of the final day-ahead schedules (MWhrs) of all EPMI SC Clients.</w:t>
      </w:r>
    </w:p>
    <w:p>
      <w:pPr>
        <w:pStyle w:val="BodyText"/>
        <w:numPr>
          <w:ilvl w:val="0"/>
          <w:numId w:val="2"/>
        </w:numPr>
        <w:ind w:hanging="360" w:start="720" w:end="0"/>
        <w:rPr/>
      </w:pPr>
      <w:r>
        <w:rPr/>
        <w:t>Amount C is the final (MWhrs) pre-scheduled quantity of each SC Client</w:t>
      </w:r>
    </w:p>
    <w:p>
      <w:pPr>
        <w:pStyle w:val="BodyText"/>
        <w:numPr>
          <w:ilvl w:val="0"/>
          <w:numId w:val="2"/>
        </w:numPr>
        <w:ind w:hanging="360" w:start="720" w:end="0"/>
        <w:rPr/>
      </w:pPr>
      <w:r>
        <w:rPr/>
        <w:t>% Share/Client is amount C divided by Amount B.</w:t>
      </w:r>
    </w:p>
    <w:p>
      <w:pPr>
        <w:pStyle w:val="BodyText"/>
        <w:numPr>
          <w:ilvl w:val="0"/>
          <w:numId w:val="2"/>
        </w:numPr>
        <w:rPr/>
      </w:pPr>
      <w:r>
        <w:rPr/>
        <w:t>EPMI will be financially responsible for any quantities by which Amount A exceeds Amount B.</w:t>
      </w:r>
    </w:p>
    <w:p>
      <w:pPr>
        <w:pStyle w:val="BodyText"/>
        <w:numPr>
          <w:ilvl w:val="0"/>
          <w:numId w:val="2"/>
        </w:numPr>
        <w:rPr/>
      </w:pPr>
      <w:r>
        <w:rPr/>
        <w:t>SC Clients will be allocated PX quantities when Amount A is less than or equal to Amount B.</w:t>
      </w:r>
    </w:p>
    <w:p>
      <w:pPr>
        <w:pStyle w:val="BodyText"/>
        <w:numPr>
          <w:ilvl w:val="0"/>
          <w:numId w:val="2"/>
        </w:numPr>
        <w:rPr/>
      </w:pPr>
      <w:r>
        <w:rPr/>
        <w:t>When Amount A is less than or equal to Amount B, each SC Client will be allocated a quantity (Amount D) for that hour equal to % share times Amount A.</w:t>
      </w:r>
    </w:p>
    <w:p>
      <w:pPr>
        <w:pStyle w:val="BodyText"/>
        <w:numPr>
          <w:ilvl w:val="0"/>
          <w:numId w:val="2"/>
        </w:numPr>
        <w:rPr/>
      </w:pPr>
      <w:r>
        <w:rPr/>
        <w:t>Amount D will be summed to calculate the total amount of MWhrs sold to the PX by each SC Client.</w:t>
      </w:r>
    </w:p>
    <w:p>
      <w:pPr>
        <w:pStyle w:val="BodyText"/>
        <w:numPr>
          <w:ilvl w:val="0"/>
          <w:numId w:val="2"/>
        </w:numPr>
        <w:rPr/>
      </w:pPr>
      <w:r>
        <w:rPr/>
        <w:t>The sum of the Amount D will be divided by the sum of Amount A to determine each SC Client’s share of the December under collection.</w:t>
      </w:r>
    </w:p>
    <w:p>
      <w:pPr>
        <w:pStyle w:val="BodyText"/>
        <w:rPr/>
      </w:pPr>
      <w:r>
        <w:rPr/>
      </w:r>
    </w:p>
    <w:p>
      <w:pPr>
        <w:pStyle w:val="BodyText"/>
        <w:rPr/>
      </w:pPr>
      <w:r>
        <w:rPr/>
        <w:t>In this way, each SC client will benefit as a result of EPMI selling energy to counter parties other than the PX.  Arithmatically, this will make every SC Client better off than what would have been the case if the client had sold 100% of its energy to the PX.</w:t>
      </w:r>
    </w:p>
    <w:p>
      <w:pPr>
        <w:pStyle w:val="BodyText"/>
        <w:rPr/>
      </w:pPr>
      <w:r>
        <w:rPr/>
      </w:r>
    </w:p>
    <w:p>
      <w:pPr>
        <w:pStyle w:val="BodyText"/>
        <w:rPr/>
      </w:pPr>
      <w:r>
        <w:rPr/>
        <w:t>Applying this methodology is a time-consuming process that will take at least a couple weeks.  We will keep you abreast of our efforts to complete this task.</w:t>
      </w:r>
    </w:p>
    <w:p>
      <w:pPr>
        <w:pStyle w:val="BodyText"/>
        <w:rPr/>
      </w:pPr>
      <w:r>
        <w:rPr/>
      </w:r>
    </w:p>
    <w:p>
      <w:pPr>
        <w:pStyle w:val="BodyText"/>
        <w:rPr>
          <w:u w:val="single"/>
        </w:rPr>
      </w:pPr>
      <w:r>
        <w:rPr>
          <w:u w:val="single"/>
        </w:rPr>
        <w:t>December Payment</w:t>
      </w:r>
    </w:p>
    <w:p>
      <w:pPr>
        <w:pStyle w:val="BodyText"/>
        <w:rPr>
          <w:u w:val="single"/>
        </w:rPr>
      </w:pPr>
      <w:r>
        <w:rPr>
          <w:u w:val="single"/>
        </w:rPr>
      </w:r>
    </w:p>
    <w:p>
      <w:pPr>
        <w:pStyle w:val="BodyText"/>
        <w:rPr/>
      </w:pPr>
      <w:r>
        <w:rPr/>
        <w:t>In the short run, however, in order to manage the situation at hand, EPMI will be making a payment for December sales to all of our Scheduling Coordinator clients equal to approximately 78% of what they would have received according to the PX hourly index prices currently in effect.  This amount approximates, in a reasonable way given the lack of time to complete the analysis described above, the methodology used by the PX.</w:t>
      </w:r>
    </w:p>
    <w:p>
      <w:pPr>
        <w:pStyle w:val="BodyText"/>
        <w:rPr/>
      </w:pPr>
      <w:r>
        <w:rPr/>
      </w:r>
    </w:p>
    <w:p>
      <w:pPr>
        <w:pStyle w:val="BodyText"/>
        <w:rPr>
          <w:u w:val="single"/>
        </w:rPr>
      </w:pPr>
      <w:r>
        <w:rPr>
          <w:u w:val="single"/>
        </w:rPr>
        <w:t>Future Payments</w:t>
      </w:r>
    </w:p>
    <w:p>
      <w:pPr>
        <w:pStyle w:val="BodyText"/>
        <w:rPr>
          <w:u w:val="single"/>
        </w:rPr>
      </w:pPr>
      <w:r>
        <w:rPr>
          <w:u w:val="single"/>
        </w:rPr>
      </w:r>
    </w:p>
    <w:p>
      <w:pPr>
        <w:pStyle w:val="BodyText"/>
        <w:rPr/>
      </w:pPr>
      <w:r>
        <w:rPr/>
        <w:t xml:space="preserve">Once EPMI completes the analysis described above, we will redetermine the amount to be paid for December deliveries.  In the meantime, the CalPX is likely to modify the amount of its charge-back for December sales depending primarily on (1) the CalPX’s ability to liquidate Edison’s block-forward positions in the CTS markets and apply such proceeds to Edison’s default, (2) whether other PX Sellers, including Pacific Gas &amp; Electric, pay the initial charge-back, (3) whether the PX’s interpretation and application of its Tariff is upheld, (4) whether other Market Participants default on payments to the PX.  Obviously, these factors are influenced by political, economic, and legal developments that are beyond any single company’s control, and we would be hesitant to predict their outcome.  In addition, further defaults on other payments (Core, CTS or Real Time charges) for December, January and future months may result in further charge-backs or shortfall in payments to you. </w:t>
      </w:r>
    </w:p>
    <w:p>
      <w:pPr>
        <w:pStyle w:val="BodyText"/>
        <w:rPr/>
      </w:pPr>
      <w:r>
        <w:rPr/>
      </w:r>
    </w:p>
    <w:p>
      <w:pPr>
        <w:pStyle w:val="BodyText"/>
        <w:rPr/>
      </w:pPr>
      <w:r>
        <w:rPr/>
        <w:t>As you know, we have already taken action to mitigate future exposure to the PX and ISO by using the Dow Jones index or mutually acceptable fixed prices in lieu of the PX MCP.</w:t>
      </w:r>
    </w:p>
    <w:p>
      <w:pPr>
        <w:pStyle w:val="Normal"/>
        <w:rPr>
          <w:sz w:val="24"/>
        </w:rPr>
      </w:pPr>
      <w:r>
        <w:rPr>
          <w:sz w:val="24"/>
        </w:rPr>
      </w:r>
    </w:p>
    <w:p>
      <w:pPr>
        <w:pStyle w:val="Normal"/>
        <w:rPr>
          <w:sz w:val="24"/>
        </w:rPr>
      </w:pPr>
      <w:r>
        <w:rPr>
          <w:sz w:val="24"/>
        </w:rPr>
        <w:t>In a related subject, in an order published January 29, 2001, FERC has ordered the CalPX to recalculate its market clearing prices consistently with FERC’s December 15, 2000 Order.  As a consequence, for January PX indexed price transactions, we will assume that any for any hour the PX MCP initially cleared above $150/MWhr, the price will be assumed to be $150/MWhr.</w:t>
      </w:r>
    </w:p>
    <w:p>
      <w:pPr>
        <w:pStyle w:val="Normal"/>
        <w:rPr>
          <w:sz w:val="24"/>
        </w:rPr>
      </w:pPr>
      <w:r>
        <w:rPr>
          <w:sz w:val="24"/>
        </w:rPr>
      </w:r>
    </w:p>
    <w:p>
      <w:pPr>
        <w:pStyle w:val="Normal"/>
        <w:rPr>
          <w:sz w:val="24"/>
        </w:rPr>
      </w:pPr>
      <w:r>
        <w:rPr>
          <w:sz w:val="24"/>
        </w:rPr>
        <w:t>We appreciate your patience as we work through these difficult times.  Please call me at 503/464-3822 with any questions.</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Chris Foster</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72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2001-01-31T12:34:00Z</dcterms:created>
  <dc:creator>cfoster</dc:creator>
  <dc:description/>
  <dc:language>en-CA</dc:language>
  <cp:lastModifiedBy>cfoster</cp:lastModifiedBy>
  <cp:lastPrinted>2001-01-31T10:53:00Z</cp:lastPrinted>
  <dcterms:modified xsi:type="dcterms:W3CDTF">2001-02-01T17:48:00Z</dcterms:modified>
  <cp:revision>14</cp:revision>
  <dc:subject/>
  <dc:title>Dear </dc:title>
</cp:coreProperties>
</file>