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THE PAINEWEBBER EUROMONEY CAPITAL MARKETS DIRECTORY 2000 </w:t>
      </w:r>
    </w:p>
    <w:p>
      <w:pPr>
        <w:pStyle w:val="Heading1"/>
        <w:ind w:hanging="0" w:start="0"/>
        <w:rPr/>
      </w:pPr>
      <w:r>
        <w:rPr/>
        <w:t>WITH FREE ON-LINE ACCESS</w:t>
      </w:r>
    </w:p>
    <w:p>
      <w:pPr>
        <w:pStyle w:val="Normal"/>
        <w:jc w:val="center"/>
        <w:rPr>
          <w:b/>
          <w:bCs/>
          <w:u w:val="single"/>
        </w:rPr>
      </w:pPr>
      <w:r>
        <w:rPr>
          <w:b/>
          <w:bCs/>
          <w:u w:val="single"/>
        </w:rPr>
      </w:r>
    </w:p>
    <w:p>
      <w:pPr>
        <w:pStyle w:val="Normal"/>
        <w:jc w:val="center"/>
        <w:rPr>
          <w:b/>
          <w:bCs/>
          <w:u w:val="single"/>
        </w:rPr>
      </w:pPr>
      <w:r>
        <w:rPr>
          <w:b/>
          <w:bCs/>
          <w:u w:val="single"/>
        </w:rPr>
        <w:t>NEW EDITION - £365/$584</w:t>
      </w:r>
    </w:p>
    <w:p>
      <w:pPr>
        <w:pStyle w:val="Normal"/>
        <w:jc w:val="center"/>
        <w:rPr>
          <w:b/>
          <w:bCs/>
          <w:u w:val="single"/>
        </w:rPr>
      </w:pPr>
      <w:r>
        <w:rPr>
          <w:b/>
          <w:bCs/>
          <w:u w:val="single"/>
        </w:rPr>
      </w:r>
    </w:p>
    <w:p>
      <w:pPr>
        <w:pStyle w:val="Normal"/>
        <w:jc w:val="center"/>
        <w:rPr>
          <w:b/>
          <w:bCs/>
          <w:sz w:val="28"/>
          <w:szCs w:val="28"/>
          <w:u w:val="single"/>
        </w:rPr>
      </w:pPr>
      <w:r>
        <w:rPr>
          <w:b/>
          <w:bCs/>
          <w:sz w:val="28"/>
          <w:szCs w:val="28"/>
          <w:u w:val="single"/>
        </w:rPr>
        <w:t>STAY AHEAD OF ALL THE MERGERS - DAILY UPDATES</w:t>
      </w:r>
    </w:p>
    <w:p>
      <w:pPr>
        <w:pStyle w:val="Normal"/>
        <w:jc w:val="center"/>
        <w:rPr>
          <w:b/>
          <w:bCs/>
          <w:sz w:val="28"/>
          <w:szCs w:val="28"/>
          <w:u w:val="single"/>
        </w:rPr>
      </w:pPr>
      <w:r>
        <w:rPr>
          <w:b/>
          <w:bCs/>
          <w:sz w:val="28"/>
          <w:szCs w:val="28"/>
          <w:u w:val="single"/>
        </w:rPr>
      </w:r>
    </w:p>
    <w:p>
      <w:pPr>
        <w:pStyle w:val="Normal"/>
        <w:jc w:val="center"/>
        <w:rPr>
          <w:sz w:val="24"/>
          <w:szCs w:val="24"/>
        </w:rPr>
      </w:pPr>
      <w:r>
        <w:rPr>
          <w:sz w:val="24"/>
          <w:szCs w:val="24"/>
        </w:rPr>
      </w:r>
    </w:p>
    <w:p>
      <w:pPr>
        <w:pStyle w:val="Normal"/>
        <w:jc w:val="center"/>
        <w:rPr>
          <w:sz w:val="24"/>
          <w:szCs w:val="24"/>
        </w:rPr>
      </w:pPr>
      <w:r>
        <w:rPr>
          <w:sz w:val="24"/>
          <w:szCs w:val="24"/>
        </w:rPr>
        <w:t>The guide to who's who in international capital markets. Containing more than 6,500 entries in over 130 countries and nearly 100,000 individuals. It includes full address, telephone, fax and email details. It is the most comprehensive source available containing:</w:t>
      </w:r>
    </w:p>
    <w:p>
      <w:pPr>
        <w:pStyle w:val="Normal"/>
        <w:jc w:val="center"/>
        <w:rPr>
          <w:sz w:val="28"/>
          <w:szCs w:val="28"/>
        </w:rPr>
      </w:pPr>
      <w:r>
        <w:rPr>
          <w:sz w:val="28"/>
          <w:szCs w:val="28"/>
        </w:rPr>
      </w:r>
    </w:p>
    <w:p>
      <w:pPr>
        <w:pStyle w:val="Normal"/>
        <w:numPr>
          <w:ilvl w:val="0"/>
          <w:numId w:val="2"/>
        </w:numPr>
        <w:tabs>
          <w:tab w:val="clear" w:pos="720"/>
          <w:tab w:val="left" w:pos="0" w:leader="none"/>
        </w:tabs>
        <w:ind w:hanging="720" w:start="720" w:end="0"/>
        <w:jc w:val="center"/>
        <w:rPr>
          <w:sz w:val="24"/>
          <w:szCs w:val="24"/>
        </w:rPr>
      </w:pPr>
      <w:r>
        <w:rPr>
          <w:sz w:val="24"/>
          <w:szCs w:val="24"/>
        </w:rPr>
        <w:t>Senior executive officers</w:t>
      </w:r>
    </w:p>
    <w:p>
      <w:pPr>
        <w:pStyle w:val="Normal"/>
        <w:numPr>
          <w:ilvl w:val="0"/>
          <w:numId w:val="2"/>
        </w:numPr>
        <w:tabs>
          <w:tab w:val="clear" w:pos="720"/>
          <w:tab w:val="left" w:pos="0" w:leader="none"/>
        </w:tabs>
        <w:ind w:hanging="720" w:start="720" w:end="0"/>
        <w:jc w:val="center"/>
        <w:rPr>
          <w:sz w:val="24"/>
          <w:szCs w:val="24"/>
        </w:rPr>
      </w:pPr>
      <w:r>
        <w:rPr>
          <w:sz w:val="24"/>
          <w:szCs w:val="24"/>
        </w:rPr>
        <w:t>Fixed Income salespeople</w:t>
      </w:r>
    </w:p>
    <w:p>
      <w:pPr>
        <w:pStyle w:val="Normal"/>
        <w:numPr>
          <w:ilvl w:val="0"/>
          <w:numId w:val="2"/>
        </w:numPr>
        <w:tabs>
          <w:tab w:val="clear" w:pos="720"/>
          <w:tab w:val="left" w:pos="0" w:leader="none"/>
        </w:tabs>
        <w:ind w:hanging="720" w:start="720" w:end="0"/>
        <w:jc w:val="center"/>
        <w:rPr>
          <w:sz w:val="24"/>
          <w:szCs w:val="24"/>
        </w:rPr>
      </w:pPr>
      <w:r>
        <w:rPr>
          <w:sz w:val="24"/>
          <w:szCs w:val="24"/>
        </w:rPr>
        <w:t>Equity salespeople, traders and analysts</w:t>
      </w:r>
    </w:p>
    <w:p>
      <w:pPr>
        <w:pStyle w:val="Normal"/>
        <w:numPr>
          <w:ilvl w:val="0"/>
          <w:numId w:val="2"/>
        </w:numPr>
        <w:tabs>
          <w:tab w:val="clear" w:pos="720"/>
          <w:tab w:val="left" w:pos="0" w:leader="none"/>
        </w:tabs>
        <w:ind w:hanging="720" w:start="720" w:end="0"/>
        <w:jc w:val="center"/>
        <w:rPr>
          <w:sz w:val="24"/>
          <w:szCs w:val="24"/>
        </w:rPr>
      </w:pPr>
      <w:r>
        <w:rPr>
          <w:sz w:val="24"/>
          <w:szCs w:val="24"/>
        </w:rPr>
        <w:t>Derivatives markets</w:t>
      </w:r>
    </w:p>
    <w:p>
      <w:pPr>
        <w:pStyle w:val="Normal"/>
        <w:numPr>
          <w:ilvl w:val="0"/>
          <w:numId w:val="2"/>
        </w:numPr>
        <w:tabs>
          <w:tab w:val="clear" w:pos="720"/>
          <w:tab w:val="left" w:pos="0" w:leader="none"/>
        </w:tabs>
        <w:ind w:hanging="720" w:start="720" w:end="0"/>
        <w:jc w:val="center"/>
        <w:rPr>
          <w:sz w:val="24"/>
          <w:szCs w:val="24"/>
        </w:rPr>
      </w:pPr>
      <w:r>
        <w:rPr>
          <w:sz w:val="24"/>
          <w:szCs w:val="24"/>
        </w:rPr>
        <w:t>Treasury</w:t>
      </w:r>
    </w:p>
    <w:p>
      <w:pPr>
        <w:pStyle w:val="Normal"/>
        <w:numPr>
          <w:ilvl w:val="0"/>
          <w:numId w:val="2"/>
        </w:numPr>
        <w:tabs>
          <w:tab w:val="clear" w:pos="720"/>
          <w:tab w:val="left" w:pos="0" w:leader="none"/>
        </w:tabs>
        <w:ind w:hanging="720" w:start="720" w:end="0"/>
        <w:jc w:val="center"/>
        <w:rPr>
          <w:sz w:val="24"/>
          <w:szCs w:val="24"/>
        </w:rPr>
      </w:pPr>
      <w:r>
        <w:rPr>
          <w:sz w:val="24"/>
          <w:szCs w:val="24"/>
        </w:rPr>
        <w:t>Foreign exchange</w:t>
      </w:r>
    </w:p>
    <w:p>
      <w:pPr>
        <w:pStyle w:val="Normal"/>
        <w:numPr>
          <w:ilvl w:val="0"/>
          <w:numId w:val="2"/>
        </w:numPr>
        <w:tabs>
          <w:tab w:val="clear" w:pos="720"/>
          <w:tab w:val="left" w:pos="0" w:leader="none"/>
        </w:tabs>
        <w:ind w:hanging="720" w:start="720" w:end="0"/>
        <w:jc w:val="center"/>
        <w:rPr>
          <w:sz w:val="24"/>
          <w:szCs w:val="24"/>
        </w:rPr>
      </w:pPr>
      <w:r>
        <w:rPr>
          <w:sz w:val="24"/>
          <w:szCs w:val="24"/>
        </w:rPr>
        <w:t>Custody, clearing and settlements</w:t>
      </w:r>
    </w:p>
    <w:p>
      <w:pPr>
        <w:pStyle w:val="Normal"/>
        <w:numPr>
          <w:ilvl w:val="0"/>
          <w:numId w:val="2"/>
        </w:numPr>
        <w:tabs>
          <w:tab w:val="clear" w:pos="720"/>
          <w:tab w:val="left" w:pos="0" w:leader="none"/>
        </w:tabs>
        <w:ind w:hanging="720" w:start="720" w:end="0"/>
        <w:jc w:val="center"/>
        <w:rPr>
          <w:sz w:val="24"/>
          <w:szCs w:val="24"/>
        </w:rPr>
      </w:pPr>
      <w:r>
        <w:rPr>
          <w:sz w:val="24"/>
          <w:szCs w:val="24"/>
        </w:rPr>
        <w:t>Asset-backed securities and structured finance</w:t>
      </w:r>
    </w:p>
    <w:p>
      <w:pPr>
        <w:pStyle w:val="Normal"/>
        <w:numPr>
          <w:ilvl w:val="0"/>
          <w:numId w:val="2"/>
        </w:numPr>
        <w:tabs>
          <w:tab w:val="clear" w:pos="720"/>
          <w:tab w:val="left" w:pos="0" w:leader="none"/>
        </w:tabs>
        <w:ind w:hanging="720" w:start="720" w:end="0"/>
        <w:jc w:val="center"/>
        <w:rPr>
          <w:sz w:val="24"/>
          <w:szCs w:val="24"/>
        </w:rPr>
      </w:pPr>
      <w:r>
        <w:rPr>
          <w:sz w:val="24"/>
          <w:szCs w:val="24"/>
        </w:rPr>
        <w:t>Project, trade, aircraft and shipping finance</w:t>
      </w:r>
    </w:p>
    <w:p>
      <w:pPr>
        <w:pStyle w:val="Normal"/>
        <w:numPr>
          <w:ilvl w:val="0"/>
          <w:numId w:val="2"/>
        </w:numPr>
        <w:tabs>
          <w:tab w:val="clear" w:pos="720"/>
          <w:tab w:val="left" w:pos="0" w:leader="none"/>
        </w:tabs>
        <w:ind w:hanging="720" w:start="720" w:end="0"/>
        <w:jc w:val="center"/>
        <w:rPr>
          <w:sz w:val="24"/>
          <w:szCs w:val="24"/>
        </w:rPr>
      </w:pPr>
      <w:r>
        <w:rPr>
          <w:sz w:val="24"/>
          <w:szCs w:val="24"/>
        </w:rPr>
        <w:t>Asset management</w:t>
      </w:r>
    </w:p>
    <w:p>
      <w:pPr>
        <w:pStyle w:val="Normal"/>
        <w:numPr>
          <w:ilvl w:val="0"/>
          <w:numId w:val="2"/>
        </w:numPr>
        <w:tabs>
          <w:tab w:val="clear" w:pos="720"/>
          <w:tab w:val="left" w:pos="0" w:leader="none"/>
        </w:tabs>
        <w:ind w:hanging="720" w:start="720" w:end="0"/>
        <w:jc w:val="center"/>
        <w:rPr>
          <w:sz w:val="24"/>
          <w:szCs w:val="24"/>
        </w:rPr>
      </w:pPr>
      <w:r>
        <w:rPr>
          <w:sz w:val="24"/>
          <w:szCs w:val="24"/>
        </w:rPr>
        <w:t>In-house counsel</w:t>
      </w:r>
    </w:p>
    <w:p>
      <w:pPr>
        <w:pStyle w:val="Normal"/>
        <w:numPr>
          <w:ilvl w:val="0"/>
          <w:numId w:val="2"/>
        </w:numPr>
        <w:tabs>
          <w:tab w:val="clear" w:pos="720"/>
          <w:tab w:val="left" w:pos="0" w:leader="none"/>
        </w:tabs>
        <w:ind w:hanging="360" w:start="720" w:end="0"/>
        <w:jc w:val="center"/>
        <w:rPr/>
      </w:pPr>
      <w:r>
        <w:rPr>
          <w:sz w:val="24"/>
          <w:szCs w:val="24"/>
        </w:rPr>
        <w:t>Commercial paper and other money markets</w:t>
      </w:r>
      <w:r>
        <w:rPr>
          <w:sz w:val="28"/>
          <w:szCs w:val="28"/>
        </w:rPr>
        <w:t xml:space="preserve"> </w:t>
      </w:r>
    </w:p>
    <w:p>
      <w:pPr>
        <w:pStyle w:val="Normal"/>
        <w:jc w:val="center"/>
        <w:rPr>
          <w:sz w:val="28"/>
          <w:szCs w:val="28"/>
        </w:rPr>
      </w:pPr>
      <w:r>
        <w:rPr>
          <w:sz w:val="28"/>
          <w:szCs w:val="28"/>
        </w:rPr>
      </w:r>
    </w:p>
    <w:p>
      <w:pPr>
        <w:pStyle w:val="Normal"/>
        <w:jc w:val="center"/>
        <w:rPr>
          <w:sz w:val="24"/>
          <w:szCs w:val="24"/>
        </w:rPr>
      </w:pPr>
      <w:r>
        <w:rPr>
          <w:sz w:val="24"/>
          <w:szCs w:val="24"/>
        </w:rPr>
        <w:t xml:space="preserve">The release date is approaching, make sure you are one of the first to gain this valuable source of information.  An order form is attached, complete and fax back, this guarantees that you will be among the first to take advantage of the most up-to-date listing of financial institutions around the world.  </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shd w:fill="FFFFFF" w:val="clear"/>
        <w:jc w:val="center"/>
        <w:rPr/>
      </w:pPr>
      <w:r>
        <w:rPr>
          <w:b/>
          <w:bCs/>
          <w:sz w:val="24"/>
          <w:szCs w:val="24"/>
        </w:rPr>
        <w:t>What's the rush ?</w:t>
      </w:r>
      <w:r>
        <w:rPr>
          <w:sz w:val="24"/>
          <w:szCs w:val="24"/>
        </w:rPr>
        <w:t xml:space="preserve">   Order your copy now and we will give you FREE IMMEDIATE ACCESS TO THE ON-LINE VERSION, your on-line service enables you to benefit from the very latest directory information 365 days per year. It includes daily news stories, daily updates of movements in the markets and a sophisticated search engine plus many other features.</w:t>
      </w:r>
    </w:p>
    <w:p>
      <w:pPr>
        <w:pStyle w:val="Normal"/>
        <w:jc w:val="center"/>
        <w:rPr>
          <w:sz w:val="24"/>
          <w:szCs w:val="24"/>
        </w:rPr>
      </w:pPr>
      <w:r>
        <w:rPr>
          <w:sz w:val="24"/>
          <w:szCs w:val="24"/>
        </w:rPr>
      </w:r>
    </w:p>
    <w:p>
      <w:pPr>
        <w:pStyle w:val="Normal"/>
        <w:rPr>
          <w:sz w:val="24"/>
          <w:szCs w:val="24"/>
        </w:rPr>
      </w:pPr>
      <w:r>
        <w:rPr>
          <w:sz w:val="24"/>
          <w:szCs w:val="24"/>
        </w:rPr>
      </w:r>
    </w:p>
    <w:sectPr>
      <w:headerReference w:type="default" r:id="rId2"/>
      <w:footerReference w:type="default" r:id="rId3"/>
      <w:type w:val="nextPage"/>
      <w:pgSz w:w="12240" w:h="15840"/>
      <w:pgMar w:left="1008" w:right="1008" w:gutter="0" w:header="706" w:top="1440" w:footer="706"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000000" w:val="clear"/>
      <w:jc w:val="center"/>
      <w:rPr>
        <w:b/>
        <w:bCs/>
        <w:sz w:val="24"/>
        <w:szCs w:val="24"/>
      </w:rPr>
    </w:pPr>
    <w:r>
      <w:rPr>
        <w:b/>
        <w:bCs/>
        <w:sz w:val="24"/>
        <w:szCs w:val="24"/>
      </w:rPr>
      <w:t>TO ORDER PLEASE CALL THE HOTLINE ON 212-224-3570, FAX 212-224-3553, OR E-MAIL owusue@iinvestor.net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b/>
        <w:bCs/>
        <w:sz w:val="24"/>
        <w:szCs w:val="24"/>
      </w:rPr>
    </w:pPr>
    <w:r>
      <w:rPr>
        <w:b/>
        <w:bCs/>
        <w:sz w:val="24"/>
        <w:szCs w:val="24"/>
      </w:rPr>
      <w:t>EUROMONEY INSTITUTIONAL INVESTOR PLC: DIRECTORIES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pBdr>
        <w:top w:val="single" w:sz="6" w:space="1" w:color="000000"/>
        <w:left w:val="single" w:sz="6" w:space="4" w:color="000000"/>
        <w:bottom w:val="single" w:sz="6" w:space="1" w:color="000000"/>
        <w:right w:val="single" w:sz="6" w:space="4" w:color="000000"/>
      </w:pBdr>
      <w:shd w:fill="BFBFBF" w:val="clear"/>
      <w:jc w:val="center"/>
      <w:outlineLvl w:val="0"/>
    </w:pPr>
    <w:rPr>
      <w:b/>
      <w:bCs/>
      <w:sz w:val="52"/>
      <w:szCs w:val="5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4" w:color="000000"/>
        <w:bottom w:val="single" w:sz="6" w:space="1" w:color="000000"/>
        <w:right w:val="single" w:sz="6" w:space="4" w:color="000000"/>
      </w:pBdr>
      <w:shd w:fill="000000" w:val="clear"/>
      <w:jc w:val="center"/>
    </w:pPr>
    <w:rPr>
      <w:b/>
      <w:bCs/>
      <w:sz w:val="52"/>
      <w:szCs w:val="5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1999-12-02T15:22:00Z</dcterms:created>
  <dc:creator>Julian Davies</dc:creator>
  <dc:description/>
  <dc:language>en-CA</dc:language>
  <cp:lastModifiedBy>Institutional Investor</cp:lastModifiedBy>
  <dcterms:modified xsi:type="dcterms:W3CDTF">1999-12-02T15:22:00Z</dcterms:modified>
  <cp:revision>2</cp:revision>
  <dc:subject/>
  <dc:title>THE PAINEWEBBER EUROMONEY DIRECTORY 2000 </dc:title>
</cp:coreProperties>
</file>