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w:ascii="Arial" w:hAnsi="Arial"/>
          <w:b/>
          <w:sz w:val="24"/>
        </w:rPr>
        <w:t xml:space="preserve">Pinnamaneni V. </w:t>
      </w:r>
      <w:r>
        <w:rPr>
          <w:rFonts w:cs="Arial" w:ascii="Arial" w:hAnsi="Arial"/>
          <w:b/>
          <w:sz w:val="24"/>
          <w:u w:val="single"/>
        </w:rPr>
        <w:t>Krishna</w:t>
      </w:r>
      <w:r>
        <w:rPr>
          <w:rFonts w:cs="Arial" w:ascii="Arial" w:hAnsi="Arial"/>
          <w:b/>
          <w:sz w:val="24"/>
        </w:rPr>
        <w:t>rao</w:t>
      </w:r>
    </w:p>
    <w:p>
      <w:pPr>
        <w:pStyle w:val="Normal"/>
        <w:rPr/>
      </w:pPr>
      <w:r>
        <w:rPr/>
      </w:r>
    </w:p>
    <w:p>
      <w:pPr>
        <w:pStyle w:val="Normal"/>
        <w:tabs>
          <w:tab w:val="clear" w:pos="720"/>
          <w:tab w:val="left" w:pos="6480" w:leader="none"/>
        </w:tabs>
        <w:rPr/>
      </w:pPr>
      <w:r>
        <w:rPr/>
        <w:t>1914 Crisfield Drive</w:t>
        <w:tab/>
        <w:t>Enron Corp</w:t>
      </w:r>
    </w:p>
    <w:p>
      <w:pPr>
        <w:pStyle w:val="Normal"/>
        <w:tabs>
          <w:tab w:val="clear" w:pos="720"/>
          <w:tab w:val="left" w:pos="6480" w:leader="none"/>
        </w:tabs>
        <w:rPr/>
      </w:pPr>
      <w:r>
        <w:rPr/>
        <w:t>Sugar Land, Texas 77479</w:t>
        <w:tab/>
        <w:t>1400 Smith Street</w:t>
      </w:r>
    </w:p>
    <w:p>
      <w:pPr>
        <w:pStyle w:val="Normal"/>
        <w:tabs>
          <w:tab w:val="clear" w:pos="720"/>
          <w:tab w:val="left" w:pos="6480" w:leader="none"/>
        </w:tabs>
        <w:rPr/>
      </w:pPr>
      <w:r>
        <w:rPr/>
        <w:t>Tel: (281) 240-5705</w:t>
        <w:tab/>
        <w:t>Houston, Texas 77002</w:t>
      </w:r>
    </w:p>
    <w:p>
      <w:pPr>
        <w:pStyle w:val="Normal"/>
        <w:tabs>
          <w:tab w:val="clear" w:pos="720"/>
          <w:tab w:val="left" w:pos="6480" w:leader="none"/>
        </w:tabs>
        <w:rPr/>
      </w:pPr>
      <w:r>
        <w:rPr/>
        <w:t xml:space="preserve">Email: </w:t>
      </w:r>
      <w:hyperlink r:id="rId2">
        <w:r>
          <w:rPr>
            <w:rStyle w:val="Hyperlink"/>
          </w:rPr>
          <w:t>anukrishna@aol.com</w:t>
        </w:r>
      </w:hyperlink>
      <w:r>
        <w:rPr/>
        <w:tab/>
        <w:t>Tel: (713) 853-5485</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Summary</w:t>
      </w:r>
    </w:p>
    <w:p>
      <w:pPr>
        <w:pStyle w:val="Normal"/>
        <w:tabs>
          <w:tab w:val="clear" w:pos="720"/>
          <w:tab w:val="left" w:pos="180" w:leader="none"/>
          <w:tab w:val="left" w:pos="990" w:leader="none"/>
        </w:tabs>
        <w:rPr>
          <w:rFonts w:ascii="Arial" w:hAnsi="Arial" w:cs="Arial"/>
          <w:b/>
          <w:sz w:val="10"/>
        </w:rPr>
      </w:pPr>
      <w:r>
        <w:rPr>
          <w:rFonts w:cs="Arial" w:ascii="Arial" w:hAnsi="Arial"/>
          <w:b/>
          <w:sz w:val="10"/>
        </w:rPr>
      </w:r>
    </w:p>
    <w:p>
      <w:pPr>
        <w:pStyle w:val="BodyText"/>
        <w:rPr/>
      </w:pPr>
      <w:r>
        <w:rPr/>
        <w:tab/>
        <w:t>Proven track record of applying mathematical models to solve business problems in an unstructured and dynamic environment with a deep knowledge and experience in the energy industry. Core member of the Enron Research Group which is regarded as the best in the industry. The group develops diverse mathematical, statistical and econometric models to support various business units of Enron. Experienced in leading a team of quantitative professionals supporting commodity risk management and valuation of structured contracts involving complex options. During my eight years of experience, I have had an opportunity to work on almost all the quantitative aspects of energy risk management including pricing and hedging of options (including exotic, volumetric or swing, weather, and real options), risk measurement (value-at-risk, scenario analysis, credit risk), retail energy issues and fundamental analysis of energy markets.</w:t>
      </w:r>
    </w:p>
    <w:p>
      <w:pPr>
        <w:pStyle w:val="Normal"/>
        <w:tabs>
          <w:tab w:val="clear" w:pos="720"/>
          <w:tab w:val="left" w:pos="1350" w:leader="none"/>
        </w:tabs>
        <w:rPr>
          <w:rFonts w:ascii="Arial" w:hAnsi="Arial" w:cs="Arial"/>
          <w:b/>
          <w:sz w:val="22"/>
        </w:rPr>
      </w:pPr>
      <w:r>
        <w:rPr>
          <w:rFonts w:cs="Arial" w:ascii="Arial" w:hAnsi="Arial"/>
          <w:b/>
          <w:sz w:val="22"/>
        </w:rPr>
      </w:r>
    </w:p>
    <w:p>
      <w:pPr>
        <w:pStyle w:val="Normal"/>
        <w:tabs>
          <w:tab w:val="clear" w:pos="720"/>
          <w:tab w:val="left" w:pos="990" w:leader="none"/>
        </w:tabs>
        <w:rPr>
          <w:rFonts w:ascii="Arial" w:hAnsi="Arial" w:cs="Arial"/>
          <w:b/>
          <w:sz w:val="22"/>
        </w:rPr>
      </w:pPr>
      <w:r>
        <w:rPr>
          <w:rFonts w:cs="Arial" w:ascii="Arial" w:hAnsi="Arial"/>
          <w:b/>
          <w:sz w:val="22"/>
        </w:rPr>
        <w:t>Experience</w:t>
      </w:r>
    </w:p>
    <w:p>
      <w:pPr>
        <w:pStyle w:val="Normal"/>
        <w:tabs>
          <w:tab w:val="clear" w:pos="720"/>
          <w:tab w:val="left" w:pos="180" w:leader="none"/>
          <w:tab w:val="left" w:pos="990" w:leader="none"/>
        </w:tabs>
        <w:rPr>
          <w:rFonts w:ascii="Arial" w:hAnsi="Arial" w:cs="Arial"/>
          <w:b/>
          <w:sz w:val="10"/>
        </w:rPr>
      </w:pPr>
      <w:r>
        <w:rPr>
          <w:rFonts w:cs="Arial" w:ascii="Arial" w:hAnsi="Arial"/>
          <w:b/>
          <w:sz w:val="10"/>
        </w:rPr>
      </w:r>
    </w:p>
    <w:p>
      <w:pPr>
        <w:pStyle w:val="Normal"/>
        <w:tabs>
          <w:tab w:val="clear" w:pos="720"/>
          <w:tab w:val="left" w:pos="180" w:leader="none"/>
          <w:tab w:val="left" w:pos="990" w:leader="none"/>
        </w:tabs>
        <w:jc w:val="both"/>
        <w:rPr/>
      </w:pPr>
      <w:r>
        <w:rPr/>
        <w:t>2001-Now</w:t>
        <w:tab/>
      </w:r>
      <w:r>
        <w:rPr>
          <w:rFonts w:cs="Arial" w:ascii="Arial" w:hAnsi="Arial"/>
          <w:b/>
          <w:sz w:val="16"/>
        </w:rPr>
        <w:t>Vice President</w:t>
      </w:r>
      <w:r>
        <w:rPr/>
        <w:t xml:space="preserve"> of</w:t>
      </w:r>
      <w:r>
        <w:rPr>
          <w:rFonts w:cs="Arial" w:ascii="Arial" w:hAnsi="Arial"/>
          <w:b/>
          <w:sz w:val="16"/>
        </w:rPr>
        <w:t xml:space="preserve"> </w:t>
      </w:r>
      <w:r>
        <w:rPr/>
        <w:t>Research, Enron Corp, Houston, Texas.</w:t>
      </w:r>
    </w:p>
    <w:p>
      <w:pPr>
        <w:pStyle w:val="BodyTextIndent2"/>
        <w:jc w:val="both"/>
        <w:rPr/>
      </w:pPr>
      <w:r>
        <w:rPr/>
        <w:t xml:space="preserve">I have the overall responsibility for research support for the retail division (Energy Services) and the pipelines division (Transportation Services). </w:t>
      </w:r>
    </w:p>
    <w:p>
      <w:pPr>
        <w:pStyle w:val="Normal"/>
        <w:tabs>
          <w:tab w:val="clear" w:pos="720"/>
          <w:tab w:val="left" w:pos="990" w:leader="none"/>
        </w:tabs>
        <w:ind w:start="990" w:end="0"/>
        <w:jc w:val="both"/>
        <w:rPr>
          <w:b/>
          <w:sz w:val="10"/>
        </w:rPr>
      </w:pPr>
      <w:r>
        <w:rPr>
          <w:b/>
          <w:sz w:val="10"/>
        </w:rPr>
      </w:r>
    </w:p>
    <w:p>
      <w:pPr>
        <w:pStyle w:val="Normal"/>
        <w:ind w:hanging="270" w:start="1260" w:end="0"/>
        <w:jc w:val="both"/>
        <w:rPr>
          <w:rFonts w:ascii="Arial" w:hAnsi="Arial" w:cs="Arial"/>
          <w:b/>
          <w:sz w:val="16"/>
        </w:rPr>
      </w:pPr>
      <w:r>
        <w:rPr>
          <w:rFonts w:cs="Arial" w:ascii="Arial" w:hAnsi="Arial"/>
          <w:b/>
          <w:sz w:val="16"/>
        </w:rPr>
        <w:t xml:space="preserve">Major Areas of Responsibility: </w:t>
      </w:r>
    </w:p>
    <w:p>
      <w:pPr>
        <w:pStyle w:val="Normal"/>
        <w:numPr>
          <w:ilvl w:val="0"/>
          <w:numId w:val="2"/>
        </w:numPr>
        <w:tabs>
          <w:tab w:val="clear" w:pos="720"/>
          <w:tab w:val="left" w:pos="1260" w:leader="none"/>
        </w:tabs>
        <w:ind w:hanging="270" w:start="1260" w:end="0"/>
        <w:jc w:val="both"/>
        <w:rPr/>
      </w:pPr>
      <w:r>
        <w:rPr/>
        <w:t>Pricing optionality in total energy outsourcing deals using financial derivatives technology: complex options in the contracts, real options on energy saving projects and their timing, regulatory switching options</w:t>
      </w:r>
    </w:p>
    <w:p>
      <w:pPr>
        <w:pStyle w:val="Normal"/>
        <w:numPr>
          <w:ilvl w:val="0"/>
          <w:numId w:val="2"/>
        </w:numPr>
        <w:tabs>
          <w:tab w:val="clear" w:pos="720"/>
          <w:tab w:val="left" w:pos="1260" w:leader="none"/>
        </w:tabs>
        <w:ind w:hanging="270" w:start="1260" w:end="0"/>
        <w:jc w:val="both"/>
        <w:rPr/>
      </w:pPr>
      <w:r>
        <w:rPr/>
        <w:t xml:space="preserve">Valuation of physical options: Load curtailment, distributed generation and fuel-switching options </w:t>
      </w:r>
    </w:p>
    <w:p>
      <w:pPr>
        <w:pStyle w:val="Normal"/>
        <w:numPr>
          <w:ilvl w:val="0"/>
          <w:numId w:val="2"/>
        </w:numPr>
        <w:tabs>
          <w:tab w:val="clear" w:pos="720"/>
          <w:tab w:val="left" w:pos="1260" w:leader="none"/>
        </w:tabs>
        <w:ind w:hanging="270" w:start="1260" w:end="0"/>
        <w:jc w:val="both"/>
        <w:rPr/>
      </w:pPr>
      <w:r>
        <w:rPr/>
        <w:t>Models for customer energy load involving weather and other parameters</w:t>
      </w:r>
    </w:p>
    <w:p>
      <w:pPr>
        <w:pStyle w:val="Normal"/>
        <w:numPr>
          <w:ilvl w:val="0"/>
          <w:numId w:val="2"/>
        </w:numPr>
        <w:tabs>
          <w:tab w:val="clear" w:pos="720"/>
          <w:tab w:val="left" w:pos="1260" w:leader="none"/>
        </w:tabs>
        <w:ind w:hanging="270" w:start="1260" w:end="0"/>
        <w:jc w:val="both"/>
        <w:rPr/>
      </w:pPr>
      <w:r>
        <w:rPr/>
        <w:t>Retail energy consumption risk (simulation of load, energy prices, and weather by hour)</w:t>
      </w:r>
    </w:p>
    <w:p>
      <w:pPr>
        <w:pStyle w:val="Normal"/>
        <w:numPr>
          <w:ilvl w:val="0"/>
          <w:numId w:val="2"/>
        </w:numPr>
        <w:tabs>
          <w:tab w:val="clear" w:pos="720"/>
          <w:tab w:val="left" w:pos="1260" w:leader="none"/>
        </w:tabs>
        <w:ind w:hanging="270" w:start="1260" w:end="0"/>
        <w:jc w:val="both"/>
        <w:rPr/>
      </w:pPr>
      <w:r>
        <w:rPr/>
        <w:t>Credit risk for energy deals including those with exotic options</w:t>
      </w:r>
    </w:p>
    <w:p>
      <w:pPr>
        <w:pStyle w:val="Normal"/>
        <w:numPr>
          <w:ilvl w:val="0"/>
          <w:numId w:val="2"/>
        </w:numPr>
        <w:tabs>
          <w:tab w:val="clear" w:pos="720"/>
          <w:tab w:val="left" w:pos="1260" w:leader="none"/>
        </w:tabs>
        <w:ind w:hanging="270" w:start="1260" w:end="0"/>
        <w:jc w:val="both"/>
        <w:rPr/>
      </w:pPr>
      <w:r>
        <w:rPr/>
        <w:t>Valuation of real assets like cogeneration power plants and pipelines</w:t>
      </w:r>
    </w:p>
    <w:p>
      <w:pPr>
        <w:pStyle w:val="Normal"/>
        <w:numPr>
          <w:ilvl w:val="0"/>
          <w:numId w:val="2"/>
        </w:numPr>
        <w:tabs>
          <w:tab w:val="clear" w:pos="720"/>
          <w:tab w:val="left" w:pos="1260" w:leader="none"/>
        </w:tabs>
        <w:ind w:hanging="270" w:start="1260" w:end="0"/>
        <w:jc w:val="both"/>
        <w:rPr/>
      </w:pPr>
      <w:r>
        <w:rPr/>
        <w:t>Revenue management and optimization models for natural gas pipelines</w:t>
      </w:r>
    </w:p>
    <w:p>
      <w:pPr>
        <w:pStyle w:val="Normal"/>
        <w:numPr>
          <w:ilvl w:val="0"/>
          <w:numId w:val="2"/>
        </w:numPr>
        <w:tabs>
          <w:tab w:val="clear" w:pos="720"/>
          <w:tab w:val="left" w:pos="1260" w:leader="none"/>
        </w:tabs>
        <w:ind w:hanging="270" w:start="1260" w:end="0"/>
        <w:jc w:val="both"/>
        <w:rPr/>
      </w:pPr>
      <w:r>
        <w:rPr/>
        <w:t>Risk assessment for demand-side-management energy project</w:t>
      </w:r>
    </w:p>
    <w:p>
      <w:pPr>
        <w:pStyle w:val="Normal"/>
        <w:numPr>
          <w:ilvl w:val="0"/>
          <w:numId w:val="2"/>
        </w:numPr>
        <w:tabs>
          <w:tab w:val="clear" w:pos="720"/>
          <w:tab w:val="left" w:pos="1260" w:leader="none"/>
        </w:tabs>
        <w:ind w:hanging="270" w:start="1260" w:end="0"/>
        <w:jc w:val="both"/>
        <w:rPr/>
      </w:pPr>
      <w:r>
        <w:rPr/>
        <w:t>Statistical and simulation models to evaluate energy efficiencies and savings in large portfolios of commercial and industrial sites</w:t>
      </w:r>
    </w:p>
    <w:p>
      <w:pPr>
        <w:pStyle w:val="Normal"/>
        <w:numPr>
          <w:ilvl w:val="0"/>
          <w:numId w:val="2"/>
        </w:numPr>
        <w:tabs>
          <w:tab w:val="clear" w:pos="720"/>
          <w:tab w:val="left" w:pos="1260" w:leader="none"/>
        </w:tabs>
        <w:ind w:hanging="270" w:start="1260" w:end="0"/>
        <w:jc w:val="both"/>
        <w:rPr/>
      </w:pPr>
      <w:r>
        <w:rPr/>
        <w:t>Conducting internal seminars on derivatives and speaking at conferences</w:t>
      </w:r>
    </w:p>
    <w:p>
      <w:pPr>
        <w:pStyle w:val="Normal"/>
        <w:tabs>
          <w:tab w:val="clear" w:pos="720"/>
          <w:tab w:val="left" w:pos="180" w:leader="none"/>
          <w:tab w:val="left" w:pos="990" w:leader="none"/>
        </w:tabs>
        <w:ind w:start="990" w:end="0"/>
        <w:jc w:val="both"/>
        <w:rPr>
          <w:iCs/>
        </w:rPr>
      </w:pPr>
      <w:r>
        <w:rPr>
          <w:iCs/>
        </w:rPr>
      </w:r>
    </w:p>
    <w:p>
      <w:pPr>
        <w:pStyle w:val="Normal"/>
        <w:tabs>
          <w:tab w:val="clear" w:pos="720"/>
          <w:tab w:val="left" w:pos="180" w:leader="none"/>
          <w:tab w:val="left" w:pos="990" w:leader="none"/>
        </w:tabs>
        <w:jc w:val="both"/>
        <w:rPr/>
      </w:pPr>
      <w:r>
        <w:rPr/>
        <w:t>1998-2000</w:t>
        <w:tab/>
      </w:r>
      <w:r>
        <w:rPr>
          <w:rFonts w:cs="Arial" w:ascii="Arial" w:hAnsi="Arial"/>
          <w:b/>
          <w:sz w:val="16"/>
        </w:rPr>
        <w:t>Director</w:t>
      </w:r>
      <w:r>
        <w:rPr/>
        <w:t xml:space="preserve"> of</w:t>
      </w:r>
      <w:r>
        <w:rPr>
          <w:rFonts w:cs="Arial" w:ascii="Arial" w:hAnsi="Arial"/>
          <w:b/>
          <w:sz w:val="16"/>
        </w:rPr>
        <w:t xml:space="preserve"> </w:t>
      </w:r>
      <w:r>
        <w:rPr/>
        <w:t>Research</w:t>
      </w:r>
      <w:r>
        <w:rPr>
          <w:rFonts w:cs="Arial" w:ascii="Arial" w:hAnsi="Arial"/>
          <w:b/>
          <w:sz w:val="16"/>
        </w:rPr>
        <w:t>,</w:t>
      </w:r>
      <w:r>
        <w:rPr>
          <w:rFonts w:cs="Arial" w:ascii="Arial" w:hAnsi="Arial"/>
          <w:b/>
          <w:sz w:val="18"/>
        </w:rPr>
        <w:t xml:space="preserve"> </w:t>
      </w:r>
      <w:r>
        <w:rPr/>
        <w:t>Enron Corp, Houston, Texas.</w:t>
      </w:r>
    </w:p>
    <w:p>
      <w:pPr>
        <w:pStyle w:val="Normal"/>
        <w:tabs>
          <w:tab w:val="clear" w:pos="720"/>
          <w:tab w:val="left" w:pos="180" w:leader="none"/>
          <w:tab w:val="left" w:pos="990" w:leader="none"/>
        </w:tabs>
        <w:ind w:start="990" w:end="0"/>
        <w:jc w:val="both"/>
        <w:rPr>
          <w:iCs/>
        </w:rPr>
      </w:pPr>
      <w:r>
        <w:rPr>
          <w:iCs/>
        </w:rPr>
        <w:t xml:space="preserve">Provided research support for retail energy services, pipelines group, equity trading unit and, to a lesser extent, Enron India and Broadband Services. </w:t>
      </w:r>
    </w:p>
    <w:p>
      <w:pPr>
        <w:pStyle w:val="Normal"/>
        <w:tabs>
          <w:tab w:val="clear" w:pos="720"/>
          <w:tab w:val="left" w:pos="180" w:leader="none"/>
          <w:tab w:val="left" w:pos="990" w:leader="none"/>
        </w:tabs>
        <w:ind w:start="990" w:end="0"/>
        <w:jc w:val="both"/>
        <w:rPr>
          <w:iCs/>
        </w:rPr>
      </w:pPr>
      <w:r>
        <w:rPr>
          <w:iCs/>
        </w:rPr>
      </w:r>
    </w:p>
    <w:p>
      <w:pPr>
        <w:pStyle w:val="Normal"/>
        <w:tabs>
          <w:tab w:val="clear" w:pos="720"/>
          <w:tab w:val="left" w:pos="180" w:leader="none"/>
          <w:tab w:val="left" w:pos="990" w:leader="none"/>
        </w:tabs>
        <w:jc w:val="both"/>
        <w:rPr/>
      </w:pPr>
      <w:r>
        <w:rPr/>
        <w:t>1994-97</w:t>
        <w:tab/>
      </w:r>
      <w:r>
        <w:rPr>
          <w:rFonts w:cs="Arial" w:ascii="Arial" w:hAnsi="Arial"/>
          <w:b/>
          <w:sz w:val="16"/>
        </w:rPr>
        <w:t>Manager</w:t>
      </w:r>
      <w:r>
        <w:rPr/>
        <w:t xml:space="preserve"> of</w:t>
      </w:r>
      <w:r>
        <w:rPr>
          <w:rFonts w:cs="Arial" w:ascii="Arial" w:hAnsi="Arial"/>
          <w:b/>
          <w:sz w:val="16"/>
        </w:rPr>
        <w:t xml:space="preserve"> </w:t>
      </w:r>
      <w:r>
        <w:rPr/>
        <w:t>Research</w:t>
      </w:r>
      <w:r>
        <w:rPr>
          <w:rFonts w:cs="Arial" w:ascii="Arial" w:hAnsi="Arial"/>
          <w:b/>
          <w:sz w:val="16"/>
        </w:rPr>
        <w:t>,</w:t>
      </w:r>
      <w:r>
        <w:rPr>
          <w:rFonts w:cs="Arial" w:ascii="Arial" w:hAnsi="Arial"/>
          <w:b/>
          <w:sz w:val="18"/>
        </w:rPr>
        <w:t xml:space="preserve"> </w:t>
      </w:r>
      <w:r>
        <w:rPr/>
        <w:t xml:space="preserve">Enron Corp, Houston, Texas. </w:t>
      </w:r>
    </w:p>
    <w:p>
      <w:pPr>
        <w:pStyle w:val="Normal"/>
        <w:tabs>
          <w:tab w:val="clear" w:pos="720"/>
          <w:tab w:val="left" w:pos="180" w:leader="none"/>
          <w:tab w:val="left" w:pos="990" w:leader="none"/>
        </w:tabs>
        <w:ind w:start="990" w:end="0"/>
        <w:jc w:val="both"/>
        <w:rPr>
          <w:iCs/>
        </w:rPr>
      </w:pPr>
      <w:r>
        <w:rPr>
          <w:iCs/>
        </w:rPr>
        <w:t>Provided research support for the risk management and trading of wholesale energy. Developed models for pricing and hedging exotic options, valuing natural gas storage and pumped-storage (power) facilities, measuring value-at-risk and credit risk. Worked in the Enron London office for four months providing quantitative support for trading natural gas, power, and crude products, and was involved in the setting-up of a power trading unit in Oslo, Norway.</w:t>
      </w:r>
    </w:p>
    <w:p>
      <w:pPr>
        <w:pStyle w:val="Normal"/>
        <w:tabs>
          <w:tab w:val="clear" w:pos="720"/>
          <w:tab w:val="left" w:pos="990" w:leader="none"/>
        </w:tabs>
        <w:rPr>
          <w:iCs/>
        </w:rPr>
      </w:pPr>
      <w:r>
        <w:rPr>
          <w:iCs/>
        </w:rPr>
      </w:r>
    </w:p>
    <w:p>
      <w:pPr>
        <w:pStyle w:val="Normal"/>
        <w:tabs>
          <w:tab w:val="clear" w:pos="720"/>
          <w:tab w:val="left" w:pos="990" w:leader="none"/>
        </w:tabs>
        <w:rPr/>
      </w:pPr>
      <w:r>
        <w:rPr/>
      </w:r>
    </w:p>
    <w:p>
      <w:pPr>
        <w:pStyle w:val="Normal"/>
        <w:tabs>
          <w:tab w:val="clear" w:pos="720"/>
          <w:tab w:val="left" w:pos="180" w:leader="none"/>
          <w:tab w:val="left" w:pos="990" w:leader="none"/>
        </w:tabs>
        <w:ind w:hanging="990" w:start="990" w:end="0"/>
        <w:rPr/>
      </w:pPr>
      <w:r>
        <w:rPr/>
        <w:t>1/91-6/93</w:t>
        <w:tab/>
      </w:r>
      <w:r>
        <w:rPr>
          <w:rFonts w:cs="Arial" w:ascii="Arial" w:hAnsi="Arial"/>
          <w:b/>
          <w:sz w:val="16"/>
        </w:rPr>
        <w:t>Research Assistant,</w:t>
      </w:r>
      <w:r>
        <w:rPr>
          <w:rFonts w:cs="Arial" w:ascii="Arial" w:hAnsi="Arial"/>
          <w:b/>
          <w:sz w:val="18"/>
        </w:rPr>
        <w:t xml:space="preserve"> </w:t>
      </w:r>
      <w:r>
        <w:rPr/>
        <w:t>Stanford University, Stanford, California.</w:t>
      </w:r>
    </w:p>
    <w:p>
      <w:pPr>
        <w:pStyle w:val="Normal"/>
        <w:tabs>
          <w:tab w:val="clear" w:pos="720"/>
          <w:tab w:val="left" w:pos="180" w:leader="none"/>
          <w:tab w:val="left" w:pos="990" w:leader="none"/>
        </w:tabs>
        <w:ind w:hanging="990" w:start="990" w:end="0"/>
        <w:jc w:val="both"/>
        <w:rPr/>
      </w:pPr>
      <w:r>
        <w:rPr/>
        <w:tab/>
        <w:tab/>
        <w:t xml:space="preserve">Dissertation: </w:t>
      </w:r>
      <w:r>
        <w:rPr>
          <w:i/>
        </w:rPr>
        <w:t>Additivity of Minimum Cost in Dual Network Flow Problems.</w:t>
      </w:r>
    </w:p>
    <w:p>
      <w:pPr>
        <w:pStyle w:val="Normal"/>
        <w:tabs>
          <w:tab w:val="clear" w:pos="720"/>
          <w:tab w:val="left" w:pos="180" w:leader="none"/>
          <w:tab w:val="left" w:pos="990" w:leader="none"/>
        </w:tabs>
        <w:ind w:hanging="990" w:start="990" w:end="0"/>
        <w:jc w:val="both"/>
        <w:rPr/>
      </w:pPr>
      <w:r>
        <w:rPr/>
        <w:tab/>
        <w:tab/>
        <w:t>Advisor: Prof. Arthur F. Veinott, Jr.</w:t>
      </w:r>
    </w:p>
    <w:p>
      <w:pPr>
        <w:pStyle w:val="Normal"/>
        <w:tabs>
          <w:tab w:val="clear" w:pos="720"/>
          <w:tab w:val="left" w:pos="990" w:leader="none"/>
        </w:tabs>
        <w:ind w:hanging="990" w:start="990" w:end="0"/>
        <w:jc w:val="both"/>
        <w:rPr/>
      </w:pPr>
      <w:r>
        <w:rPr/>
        <w:tab/>
        <w:t xml:space="preserve">The minimum cost in dual network-flow problems is shown to be additive in fixed values of a subset of variables (depending on the network) when the cost function is convex and additive. The theory is applied to reduce </w:t>
      </w:r>
      <w:r>
        <w:rPr>
          <w:i/>
        </w:rPr>
        <w:t>N</w:t>
      </w:r>
      <w:r>
        <w:rPr/>
        <w:t xml:space="preserve">-facility inventory/production systems with uncertain demands to a sequence of </w:t>
      </w:r>
      <w:r>
        <w:rPr>
          <w:i/>
        </w:rPr>
        <w:t>O</w:t>
      </w:r>
      <w:r>
        <w:rPr/>
        <w:t>(</w:t>
      </w:r>
      <w:r>
        <w:rPr>
          <w:i/>
        </w:rPr>
        <w:t>N</w:t>
      </w:r>
      <w:r>
        <w:rPr/>
        <w:t>) one-dimensional optimization problems.</w:t>
      </w:r>
    </w:p>
    <w:p>
      <w:pPr>
        <w:pStyle w:val="Normal"/>
        <w:tabs>
          <w:tab w:val="clear" w:pos="720"/>
          <w:tab w:val="left" w:pos="990" w:leader="none"/>
        </w:tabs>
        <w:ind w:hanging="990" w:start="990" w:end="0"/>
        <w:rPr>
          <w:sz w:val="10"/>
        </w:rPr>
      </w:pPr>
      <w:r>
        <w:rPr>
          <w:sz w:val="10"/>
        </w:rPr>
      </w:r>
    </w:p>
    <w:p>
      <w:pPr>
        <w:pStyle w:val="Normal"/>
        <w:tabs>
          <w:tab w:val="clear" w:pos="720"/>
          <w:tab w:val="left" w:pos="180" w:leader="none"/>
          <w:tab w:val="left" w:pos="990" w:leader="none"/>
        </w:tabs>
        <w:ind w:hanging="990" w:start="990" w:end="0"/>
        <w:rPr/>
      </w:pPr>
      <w:r>
        <w:rPr/>
        <w:t>6/91-12/92</w:t>
        <w:tab/>
      </w:r>
      <w:r>
        <w:rPr>
          <w:rFonts w:cs="Arial" w:ascii="Arial" w:hAnsi="Arial"/>
          <w:b/>
          <w:sz w:val="16"/>
        </w:rPr>
        <w:t>Research Consultant,</w:t>
      </w:r>
      <w:r>
        <w:rPr>
          <w:rFonts w:cs="Arial" w:ascii="Arial" w:hAnsi="Arial"/>
          <w:b/>
          <w:sz w:val="18"/>
        </w:rPr>
        <w:t xml:space="preserve"> </w:t>
      </w:r>
      <w:r>
        <w:rPr/>
        <w:t>Canon Research Center America, Palo Alto, California.</w:t>
      </w:r>
    </w:p>
    <w:p>
      <w:pPr>
        <w:pStyle w:val="Normal"/>
        <w:tabs>
          <w:tab w:val="clear" w:pos="720"/>
          <w:tab w:val="left" w:pos="180" w:leader="none"/>
          <w:tab w:val="left" w:pos="990" w:leader="none"/>
        </w:tabs>
        <w:ind w:hanging="990" w:start="990" w:end="0"/>
        <w:jc w:val="both"/>
        <w:rPr/>
      </w:pPr>
      <w:r>
        <w:rPr/>
        <w:tab/>
        <w:tab/>
        <w:t xml:space="preserve">Worked with Dr. Roger D. Melen to develop and implement algorithms to accurately compute angels of strokes in optically scanned characters using Fast-Fourier Transforms. </w:t>
      </w:r>
    </w:p>
    <w:p>
      <w:pPr>
        <w:pStyle w:val="Normal"/>
        <w:tabs>
          <w:tab w:val="clear" w:pos="720"/>
          <w:tab w:val="left" w:pos="990" w:leader="none"/>
        </w:tabs>
        <w:ind w:hanging="990" w:start="990" w:end="0"/>
        <w:rPr>
          <w:sz w:val="10"/>
        </w:rPr>
      </w:pPr>
      <w:r>
        <w:rPr>
          <w:sz w:val="10"/>
        </w:rPr>
      </w:r>
    </w:p>
    <w:p>
      <w:pPr>
        <w:pStyle w:val="Normal"/>
        <w:tabs>
          <w:tab w:val="clear" w:pos="720"/>
          <w:tab w:val="left" w:pos="180" w:leader="none"/>
          <w:tab w:val="left" w:pos="990" w:leader="none"/>
        </w:tabs>
        <w:ind w:hanging="990" w:start="990" w:end="0"/>
        <w:rPr/>
      </w:pPr>
      <w:r>
        <w:rPr/>
        <w:t>1/90-12/90</w:t>
        <w:tab/>
      </w:r>
      <w:r>
        <w:rPr>
          <w:rFonts w:cs="Arial" w:ascii="Arial" w:hAnsi="Arial"/>
          <w:b/>
          <w:sz w:val="16"/>
        </w:rPr>
        <w:t>Research Assistant,</w:t>
      </w:r>
      <w:r>
        <w:rPr>
          <w:rFonts w:cs="Arial" w:ascii="Arial" w:hAnsi="Arial"/>
          <w:b/>
          <w:sz w:val="18"/>
        </w:rPr>
        <w:t xml:space="preserve"> </w:t>
      </w:r>
      <w:r>
        <w:rPr/>
        <w:t>Stanford University, Stanford, California.</w:t>
      </w:r>
    </w:p>
    <w:p>
      <w:pPr>
        <w:pStyle w:val="Normal"/>
        <w:tabs>
          <w:tab w:val="clear" w:pos="720"/>
          <w:tab w:val="left" w:pos="180" w:leader="none"/>
          <w:tab w:val="left" w:pos="990" w:leader="none"/>
        </w:tabs>
        <w:ind w:hanging="990" w:start="990" w:end="0"/>
        <w:jc w:val="both"/>
        <w:rPr/>
      </w:pPr>
      <w:r>
        <w:rPr/>
        <w:tab/>
        <w:tab/>
        <w:t xml:space="preserve">Worked with Prof. George B. Dantzig to develop a linear programming method for finding a hyperplane separating two types of data. This work is used in solving large-scale Stochastic Linear Programs. </w:t>
      </w:r>
    </w:p>
    <w:p>
      <w:pPr>
        <w:pStyle w:val="Normal"/>
        <w:tabs>
          <w:tab w:val="clear" w:pos="720"/>
          <w:tab w:val="left" w:pos="990" w:leader="none"/>
        </w:tabs>
        <w:ind w:hanging="990" w:start="990" w:end="0"/>
        <w:rPr>
          <w:sz w:val="10"/>
        </w:rPr>
      </w:pPr>
      <w:r>
        <w:rPr>
          <w:sz w:val="10"/>
        </w:rPr>
      </w:r>
    </w:p>
    <w:p>
      <w:pPr>
        <w:pStyle w:val="Normal"/>
        <w:tabs>
          <w:tab w:val="clear" w:pos="720"/>
          <w:tab w:val="left" w:pos="180" w:leader="none"/>
          <w:tab w:val="left" w:pos="990" w:leader="none"/>
        </w:tabs>
        <w:ind w:hanging="990" w:start="990" w:end="0"/>
        <w:rPr/>
      </w:pPr>
      <w:r>
        <w:rPr/>
        <w:t>6/89-8/89</w:t>
        <w:tab/>
      </w:r>
      <w:r>
        <w:rPr>
          <w:rFonts w:cs="Arial" w:ascii="Arial" w:hAnsi="Arial"/>
          <w:b/>
          <w:sz w:val="16"/>
        </w:rPr>
        <w:t xml:space="preserve">Member of Technical Staff, </w:t>
      </w:r>
      <w:r>
        <w:rPr/>
        <w:t>Bell Communications Research, Redbank, New Jersey.</w:t>
      </w:r>
    </w:p>
    <w:p>
      <w:pPr>
        <w:pStyle w:val="Normal"/>
        <w:tabs>
          <w:tab w:val="clear" w:pos="720"/>
          <w:tab w:val="left" w:pos="180" w:leader="none"/>
          <w:tab w:val="left" w:pos="990" w:leader="none"/>
        </w:tabs>
        <w:ind w:hanging="990" w:start="990" w:end="0"/>
        <w:jc w:val="both"/>
        <w:rPr/>
      </w:pPr>
      <w:r>
        <w:rPr/>
        <w:tab/>
        <w:tab/>
        <w:t>Worked with Dr. Richard Cardwell to develop and implement an efficient algorithm to solve a Multi-Period Capacity Planning Problem for Fiber-Optic Networks using Hubbing and Self-Healing Ring Architectures.</w:t>
      </w:r>
    </w:p>
    <w:p>
      <w:pPr>
        <w:pStyle w:val="Normal"/>
        <w:tabs>
          <w:tab w:val="clear" w:pos="720"/>
          <w:tab w:val="left" w:pos="990" w:leader="none"/>
        </w:tabs>
        <w:ind w:hanging="990" w:start="990" w:end="0"/>
        <w:rPr>
          <w:sz w:val="10"/>
        </w:rPr>
      </w:pPr>
      <w:r>
        <w:rPr>
          <w:sz w:val="10"/>
        </w:rPr>
      </w:r>
    </w:p>
    <w:p>
      <w:pPr>
        <w:pStyle w:val="Normal"/>
        <w:tabs>
          <w:tab w:val="clear" w:pos="720"/>
          <w:tab w:val="left" w:pos="180" w:leader="none"/>
          <w:tab w:val="left" w:pos="990" w:leader="none"/>
        </w:tabs>
        <w:ind w:hanging="990" w:start="990" w:end="0"/>
        <w:rPr/>
      </w:pPr>
      <w:r>
        <w:rPr/>
        <w:t>1986-90</w:t>
        <w:tab/>
      </w:r>
      <w:r>
        <w:rPr>
          <w:rFonts w:cs="Arial" w:ascii="Arial" w:hAnsi="Arial"/>
          <w:b/>
          <w:sz w:val="16"/>
        </w:rPr>
        <w:t xml:space="preserve">Teaching Assistant, </w:t>
      </w:r>
      <w:r>
        <w:rPr/>
        <w:t>Stanford University and Rensselaer Polytechnic Institute.</w:t>
      </w:r>
    </w:p>
    <w:p>
      <w:pPr>
        <w:pStyle w:val="BodyTextIndent"/>
        <w:ind w:hanging="990" w:start="990" w:end="0"/>
        <w:rPr/>
      </w:pPr>
      <w:r>
        <w:rPr/>
        <w:tab/>
        <w:tab/>
        <w:t xml:space="preserve">Helped in teaching several undergraduate and graduate courses in Engineering and Operations Research  by holding tutorial sessions and review classes, and grading papers. </w:t>
      </w:r>
    </w:p>
    <w:p>
      <w:pPr>
        <w:pStyle w:val="Normal"/>
        <w:rPr>
          <w:rFonts w:ascii="Arial" w:hAnsi="Arial" w:cs="Arial"/>
          <w:b/>
          <w:sz w:val="22"/>
        </w:rPr>
      </w:pPr>
      <w:r>
        <w:rPr>
          <w:rFonts w:cs="Arial" w:ascii="Arial" w:hAnsi="Arial"/>
          <w:b/>
          <w:sz w:val="22"/>
        </w:rPr>
      </w:r>
    </w:p>
    <w:p>
      <w:pPr>
        <w:pStyle w:val="Normal"/>
        <w:rPr>
          <w:rFonts w:ascii="Arial" w:hAnsi="Arial" w:cs="Arial"/>
          <w:b/>
        </w:rPr>
      </w:pPr>
      <w:r>
        <w:rPr>
          <w:rFonts w:cs="Arial" w:ascii="Arial" w:hAnsi="Arial"/>
          <w:b/>
          <w:sz w:val="22"/>
        </w:rPr>
        <w:t>Education</w:t>
      </w:r>
    </w:p>
    <w:p>
      <w:pPr>
        <w:pStyle w:val="Normal"/>
        <w:rPr>
          <w:rFonts w:ascii="Arial" w:hAnsi="Arial" w:cs="Arial"/>
          <w:b/>
          <w:sz w:val="6"/>
        </w:rPr>
      </w:pPr>
      <w:r>
        <w:rPr>
          <w:rFonts w:cs="Arial" w:ascii="Arial" w:hAnsi="Arial"/>
          <w:b/>
          <w:sz w:val="6"/>
        </w:rPr>
      </w:r>
    </w:p>
    <w:p>
      <w:pPr>
        <w:pStyle w:val="Normal"/>
        <w:tabs>
          <w:tab w:val="clear" w:pos="720"/>
          <w:tab w:val="left" w:pos="180" w:leader="none"/>
          <w:tab w:val="left" w:pos="990" w:leader="none"/>
        </w:tabs>
        <w:rPr/>
      </w:pPr>
      <w:r>
        <w:rPr/>
        <w:tab/>
        <w:t>MBA</w:t>
        <w:tab/>
        <w:t>Finance Concentration</w:t>
        <w:tab/>
        <w:tab/>
        <w:tab/>
        <w:tab/>
        <w:tab/>
        <w:tab/>
        <w:tab/>
        <w:t>Sept., 1999</w:t>
      </w:r>
    </w:p>
    <w:p>
      <w:pPr>
        <w:pStyle w:val="Normal"/>
        <w:tabs>
          <w:tab w:val="clear" w:pos="720"/>
          <w:tab w:val="left" w:pos="180" w:leader="none"/>
          <w:tab w:val="left" w:pos="990" w:leader="none"/>
        </w:tabs>
        <w:rPr/>
      </w:pPr>
      <w:r>
        <w:rPr/>
        <w:tab/>
        <w:tab/>
        <w:t>Rice University, Houston, Texas</w:t>
        <w:tab/>
        <w:tab/>
        <w:tab/>
        <w:tab/>
        <w:tab/>
        <w:tab/>
        <w:t>GPA: 3.6/4</w:t>
        <w:tab/>
      </w:r>
    </w:p>
    <w:p>
      <w:pPr>
        <w:pStyle w:val="Normal"/>
        <w:rPr>
          <w:sz w:val="6"/>
        </w:rPr>
      </w:pPr>
      <w:r>
        <w:rPr>
          <w:sz w:val="6"/>
        </w:rPr>
      </w:r>
    </w:p>
    <w:p>
      <w:pPr>
        <w:pStyle w:val="Normal"/>
        <w:tabs>
          <w:tab w:val="clear" w:pos="720"/>
          <w:tab w:val="left" w:pos="180" w:leader="none"/>
          <w:tab w:val="left" w:pos="990" w:leader="none"/>
        </w:tabs>
        <w:rPr/>
      </w:pPr>
      <w:r>
        <w:rPr/>
        <w:tab/>
        <w:t>Ph.D.</w:t>
        <w:tab/>
        <w:t>Operations Research - Computer Science Minor</w:t>
        <w:tab/>
        <w:tab/>
        <w:tab/>
        <w:tab/>
        <w:t>Nov., 1993</w:t>
      </w:r>
    </w:p>
    <w:p>
      <w:pPr>
        <w:pStyle w:val="Normal"/>
        <w:tabs>
          <w:tab w:val="clear" w:pos="720"/>
          <w:tab w:val="left" w:pos="180" w:leader="none"/>
          <w:tab w:val="left" w:pos="990" w:leader="none"/>
        </w:tabs>
        <w:rPr/>
      </w:pPr>
      <w:r>
        <w:rPr/>
        <w:tab/>
        <w:tab/>
        <w:t>Stanford University, Stanford, California.</w:t>
        <w:tab/>
        <w:tab/>
        <w:tab/>
        <w:tab/>
        <w:tab/>
        <w:t>GPA: 3.9/4</w:t>
      </w:r>
    </w:p>
    <w:p>
      <w:pPr>
        <w:pStyle w:val="Normal"/>
        <w:rPr>
          <w:sz w:val="6"/>
        </w:rPr>
      </w:pPr>
      <w:r>
        <w:rPr>
          <w:sz w:val="6"/>
        </w:rPr>
      </w:r>
    </w:p>
    <w:p>
      <w:pPr>
        <w:pStyle w:val="Normal"/>
        <w:tabs>
          <w:tab w:val="clear" w:pos="720"/>
          <w:tab w:val="left" w:pos="180" w:leader="none"/>
          <w:tab w:val="left" w:pos="990" w:leader="none"/>
        </w:tabs>
        <w:rPr/>
      </w:pPr>
      <w:r>
        <w:rPr/>
        <w:tab/>
        <w:t>M.S.</w:t>
        <w:tab/>
        <w:t>Statistics and Operations Research</w:t>
        <w:tab/>
        <w:tab/>
        <w:tab/>
        <w:tab/>
        <w:tab/>
        <w:t>April, 1988</w:t>
      </w:r>
    </w:p>
    <w:p>
      <w:pPr>
        <w:pStyle w:val="Normal"/>
        <w:tabs>
          <w:tab w:val="clear" w:pos="720"/>
          <w:tab w:val="left" w:pos="180" w:leader="none"/>
          <w:tab w:val="left" w:pos="990" w:leader="none"/>
        </w:tabs>
        <w:rPr/>
      </w:pPr>
      <w:r>
        <w:rPr/>
        <w:tab/>
        <w:tab/>
        <w:t>Rensselaer Polytechnic Institute, Troy, New York.</w:t>
        <w:tab/>
        <w:tab/>
        <w:tab/>
        <w:tab/>
        <w:t>GPA: 4/4</w:t>
      </w:r>
    </w:p>
    <w:p>
      <w:pPr>
        <w:pStyle w:val="Normal"/>
        <w:rPr>
          <w:sz w:val="6"/>
        </w:rPr>
      </w:pPr>
      <w:r>
        <w:rPr>
          <w:sz w:val="6"/>
        </w:rPr>
      </w:r>
    </w:p>
    <w:p>
      <w:pPr>
        <w:pStyle w:val="Normal"/>
        <w:tabs>
          <w:tab w:val="clear" w:pos="720"/>
          <w:tab w:val="left" w:pos="180" w:leader="none"/>
          <w:tab w:val="left" w:pos="990" w:leader="none"/>
        </w:tabs>
        <w:ind w:firstLine="720" w:end="0"/>
        <w:rPr/>
      </w:pPr>
      <w:r>
        <w:rPr/>
        <w:tab/>
        <w:t>Advanced Graduate Record Examination in Engineering</w:t>
        <w:tab/>
        <w:tab/>
        <w:tab/>
        <w:t>Dec., 1985</w:t>
      </w:r>
    </w:p>
    <w:p>
      <w:pPr>
        <w:pStyle w:val="Normal"/>
        <w:tabs>
          <w:tab w:val="clear" w:pos="720"/>
          <w:tab w:val="left" w:pos="180" w:leader="none"/>
          <w:tab w:val="left" w:pos="990" w:leader="none"/>
          <w:tab w:val="left" w:pos="7200" w:leader="none"/>
        </w:tabs>
        <w:ind w:firstLine="720" w:end="0"/>
        <w:rPr>
          <w:sz w:val="10"/>
        </w:rPr>
      </w:pPr>
      <w:r>
        <w:rPr/>
        <w:tab/>
        <w:tab/>
        <w:t>Score: 930 (99%)</w:t>
      </w:r>
    </w:p>
    <w:p>
      <w:pPr>
        <w:pStyle w:val="Normal"/>
        <w:rPr>
          <w:sz w:val="6"/>
        </w:rPr>
      </w:pPr>
      <w:r>
        <w:rPr>
          <w:sz w:val="6"/>
        </w:rPr>
      </w:r>
    </w:p>
    <w:p>
      <w:pPr>
        <w:pStyle w:val="Normal"/>
        <w:tabs>
          <w:tab w:val="clear" w:pos="720"/>
          <w:tab w:val="left" w:pos="180" w:leader="none"/>
          <w:tab w:val="left" w:pos="990" w:leader="none"/>
        </w:tabs>
        <w:rPr/>
      </w:pPr>
      <w:r>
        <w:rPr/>
        <w:tab/>
        <w:t>B.Tech.</w:t>
        <w:tab/>
        <w:t>Mechanical Engineering</w:t>
        <w:tab/>
        <w:tab/>
        <w:tab/>
        <w:tab/>
        <w:tab/>
        <w:tab/>
        <w:t>May, 1986</w:t>
      </w:r>
    </w:p>
    <w:p>
      <w:pPr>
        <w:pStyle w:val="Normal"/>
        <w:tabs>
          <w:tab w:val="clear" w:pos="720"/>
          <w:tab w:val="left" w:pos="180" w:leader="none"/>
          <w:tab w:val="left" w:pos="990" w:leader="none"/>
        </w:tabs>
        <w:rPr/>
      </w:pPr>
      <w:r>
        <w:rPr/>
        <w:tab/>
        <w:tab/>
        <w:t>Indian Institute of Technology, Madras, India.</w:t>
        <w:tab/>
        <w:tab/>
        <w:tab/>
        <w:tab/>
        <w:t>GPA: 9.2/10</w:t>
      </w:r>
    </w:p>
    <w:p>
      <w:pPr>
        <w:pStyle w:val="Normal"/>
        <w:tabs>
          <w:tab w:val="clear" w:pos="720"/>
          <w:tab w:val="left" w:pos="180" w:leader="none"/>
          <w:tab w:val="left" w:pos="1350" w:leader="none"/>
          <w:tab w:val="left" w:pos="1530" w:leader="none"/>
        </w:tabs>
        <w:ind w:hanging="1530" w:start="1530" w:end="0"/>
        <w:jc w:val="both"/>
        <w:rPr/>
      </w:pPr>
      <w:r>
        <w:rPr/>
      </w:r>
    </w:p>
    <w:p>
      <w:pPr>
        <w:pStyle w:val="Normal"/>
        <w:tabs>
          <w:tab w:val="clear" w:pos="720"/>
          <w:tab w:val="left" w:pos="990" w:leader="none"/>
          <w:tab w:val="left" w:pos="1170" w:leader="none"/>
          <w:tab w:val="left" w:pos="1260" w:leader="none"/>
        </w:tabs>
        <w:ind w:hanging="1170" w:start="1170" w:end="0"/>
        <w:rPr>
          <w:rFonts w:ascii="Arial" w:hAnsi="Arial" w:cs="Arial"/>
          <w:b/>
          <w:sz w:val="22"/>
        </w:rPr>
      </w:pPr>
      <w:r>
        <w:rPr>
          <w:rFonts w:cs="Arial" w:ascii="Arial" w:hAnsi="Arial"/>
          <w:b/>
          <w:sz w:val="22"/>
        </w:rPr>
        <w:t>Publications</w:t>
      </w:r>
    </w:p>
    <w:p>
      <w:pPr>
        <w:pStyle w:val="Normal"/>
        <w:tabs>
          <w:tab w:val="clear" w:pos="720"/>
          <w:tab w:val="left" w:pos="990" w:leader="none"/>
          <w:tab w:val="left" w:pos="1170" w:leader="none"/>
          <w:tab w:val="left" w:pos="1260" w:leader="none"/>
          <w:tab w:val="left" w:pos="1530" w:leader="none"/>
        </w:tabs>
        <w:ind w:hanging="1170" w:start="1170" w:end="0"/>
        <w:rPr>
          <w:rFonts w:ascii="Arial" w:hAnsi="Arial" w:cs="Arial"/>
          <w:b/>
          <w:sz w:val="10"/>
        </w:rPr>
      </w:pPr>
      <w:r>
        <w:rPr>
          <w:rFonts w:cs="Arial" w:ascii="Arial" w:hAnsi="Arial"/>
          <w:b/>
          <w:sz w:val="10"/>
        </w:rPr>
      </w:r>
    </w:p>
    <w:p>
      <w:pPr>
        <w:pStyle w:val="Normal"/>
        <w:tabs>
          <w:tab w:val="clear" w:pos="720"/>
          <w:tab w:val="left" w:pos="180" w:leader="none"/>
          <w:tab w:val="left" w:pos="990" w:leader="none"/>
          <w:tab w:val="left" w:pos="1170" w:leader="none"/>
          <w:tab w:val="left" w:pos="1260" w:leader="none"/>
          <w:tab w:val="left" w:pos="1530" w:leader="none"/>
        </w:tabs>
        <w:ind w:hanging="1170" w:start="1080" w:end="0"/>
        <w:jc w:val="both"/>
        <w:rPr/>
      </w:pPr>
      <w:r>
        <w:rPr/>
        <w:tab/>
        <w:tab/>
      </w:r>
      <w:r>
        <w:rPr>
          <w:rFonts w:eastAsia="Symbol" w:cs="Symbol" w:ascii="Symbol" w:hAnsi="Symbol"/>
        </w:rPr>
        <w:sym w:font="Symbol" w:char="f0b7"/>
      </w:r>
      <w:r>
        <w:rPr/>
        <w:tab/>
      </w:r>
      <w:r>
        <w:rPr>
          <w:i/>
          <w:iCs/>
        </w:rPr>
        <w:t xml:space="preserve">Pricing of Asian Spread Options,, </w:t>
      </w:r>
      <w:r>
        <w:rPr/>
        <w:t xml:space="preserve">Research work at Rice University with Jeff Fleming, August </w:t>
      </w:r>
      <w:r>
        <w:rPr>
          <w:i/>
          <w:iCs/>
        </w:rPr>
        <w:t>1999</w:t>
      </w:r>
    </w:p>
    <w:p>
      <w:pPr>
        <w:pStyle w:val="Normal"/>
        <w:tabs>
          <w:tab w:val="clear" w:pos="720"/>
          <w:tab w:val="left" w:pos="990" w:leader="none"/>
          <w:tab w:val="left" w:pos="1170" w:leader="none"/>
          <w:tab w:val="left" w:pos="1260" w:leader="none"/>
          <w:tab w:val="left" w:pos="1530" w:leader="none"/>
        </w:tabs>
        <w:ind w:hanging="1170" w:start="1170" w:end="0"/>
        <w:rPr>
          <w:i/>
          <w:i/>
          <w:iCs/>
          <w:sz w:val="10"/>
        </w:rPr>
      </w:pPr>
      <w:r>
        <w:rPr>
          <w:i/>
          <w:iCs/>
          <w:sz w:val="10"/>
        </w:rPr>
      </w:r>
    </w:p>
    <w:p>
      <w:pPr>
        <w:pStyle w:val="Normal"/>
        <w:tabs>
          <w:tab w:val="clear" w:pos="720"/>
          <w:tab w:val="left" w:pos="180" w:leader="none"/>
          <w:tab w:val="left" w:pos="990" w:leader="none"/>
          <w:tab w:val="left" w:pos="1170" w:leader="none"/>
          <w:tab w:val="left" w:pos="1260" w:leader="none"/>
          <w:tab w:val="left" w:pos="1530" w:leader="none"/>
        </w:tabs>
        <w:ind w:hanging="1170" w:start="1170" w:end="0"/>
        <w:jc w:val="both"/>
        <w:rPr/>
      </w:pPr>
      <w:r>
        <w:rPr/>
        <w:tab/>
        <w:tab/>
      </w:r>
      <w:r>
        <w:rPr>
          <w:rFonts w:eastAsia="Symbol" w:cs="Symbol" w:ascii="Symbol" w:hAnsi="Symbol"/>
        </w:rPr>
        <w:sym w:font="Symbol" w:char="f0b7"/>
      </w:r>
      <w:r>
        <w:rPr/>
        <w:tab/>
      </w:r>
      <w:r>
        <w:rPr>
          <w:i/>
        </w:rPr>
        <w:t xml:space="preserve">Energy Exotic Options, </w:t>
      </w:r>
      <w:r>
        <w:rPr/>
        <w:t xml:space="preserve">chapter in </w:t>
      </w:r>
      <w:r>
        <w:rPr>
          <w:i/>
        </w:rPr>
        <w:t>Managing Energy Price Risk,</w:t>
      </w:r>
      <w:r>
        <w:rPr/>
        <w:t xml:space="preserve"> published by Risk Books, 1995 (second ed. 1999) coauthored with Vince Kaminski and Stinson Gibner. </w:t>
      </w:r>
    </w:p>
    <w:p>
      <w:pPr>
        <w:pStyle w:val="Normal"/>
        <w:tabs>
          <w:tab w:val="clear" w:pos="720"/>
          <w:tab w:val="left" w:pos="180" w:leader="none"/>
          <w:tab w:val="left" w:pos="990" w:leader="none"/>
          <w:tab w:val="left" w:pos="1170" w:leader="none"/>
          <w:tab w:val="left" w:pos="1260" w:leader="none"/>
          <w:tab w:val="left" w:pos="1530" w:leader="none"/>
        </w:tabs>
        <w:jc w:val="both"/>
        <w:rPr>
          <w:sz w:val="10"/>
        </w:rPr>
      </w:pPr>
      <w:r>
        <w:rPr/>
        <w:t xml:space="preserve"> </w:t>
      </w:r>
    </w:p>
    <w:p>
      <w:pPr>
        <w:pStyle w:val="Normal"/>
        <w:tabs>
          <w:tab w:val="clear" w:pos="720"/>
          <w:tab w:val="left" w:pos="180" w:leader="none"/>
          <w:tab w:val="left" w:pos="990" w:leader="none"/>
          <w:tab w:val="left" w:pos="1170" w:leader="none"/>
          <w:tab w:val="left" w:pos="1260" w:leader="none"/>
          <w:tab w:val="left" w:pos="1530" w:leader="none"/>
        </w:tabs>
        <w:ind w:hanging="1170" w:start="1170" w:end="0"/>
        <w:jc w:val="both"/>
        <w:rPr/>
      </w:pPr>
      <w:r>
        <w:rPr/>
        <w:tab/>
        <w:tab/>
      </w:r>
      <w:r>
        <w:rPr>
          <w:rFonts w:eastAsia="Symbol" w:cs="Symbol" w:ascii="Symbol" w:hAnsi="Symbol"/>
        </w:rPr>
        <w:sym w:font="Symbol" w:char="f0b7"/>
      </w:r>
      <w:r>
        <w:rPr/>
        <w:tab/>
      </w:r>
      <w:r>
        <w:rPr>
          <w:i/>
        </w:rPr>
        <w:t xml:space="preserve">Actively Managing Corporate Credit Risk: New Methodologies and Instruments for Non-financial Firms, </w:t>
      </w:r>
      <w:r>
        <w:rPr/>
        <w:t>chapter in Credit Derivatives, published by Risk Books, 1998 coauthored with Vince Kaminski and Vasant Shanbhogue</w:t>
      </w:r>
    </w:p>
    <w:p>
      <w:pPr>
        <w:pStyle w:val="Normal"/>
        <w:tabs>
          <w:tab w:val="clear" w:pos="720"/>
          <w:tab w:val="left" w:pos="180" w:leader="none"/>
          <w:tab w:val="left" w:pos="990" w:leader="none"/>
          <w:tab w:val="left" w:pos="1170" w:leader="none"/>
          <w:tab w:val="left" w:pos="1260" w:leader="none"/>
          <w:tab w:val="left" w:pos="1530" w:leader="none"/>
        </w:tabs>
        <w:jc w:val="both"/>
        <w:rPr>
          <w:sz w:val="10"/>
        </w:rPr>
      </w:pPr>
      <w:r>
        <w:rPr/>
        <w:t xml:space="preserve"> </w:t>
      </w:r>
    </w:p>
    <w:p>
      <w:pPr>
        <w:pStyle w:val="Normal"/>
        <w:tabs>
          <w:tab w:val="clear" w:pos="720"/>
          <w:tab w:val="left" w:pos="180" w:leader="none"/>
          <w:tab w:val="left" w:pos="990" w:leader="none"/>
          <w:tab w:val="left" w:pos="1170" w:leader="none"/>
          <w:tab w:val="left" w:pos="1260" w:leader="none"/>
          <w:tab w:val="left" w:pos="1530" w:leader="none"/>
        </w:tabs>
        <w:ind w:hanging="1170" w:start="1170" w:end="0"/>
        <w:jc w:val="both"/>
        <w:rPr/>
      </w:pPr>
      <w:r>
        <w:rPr/>
        <w:tab/>
        <w:tab/>
      </w:r>
      <w:r>
        <w:rPr>
          <w:rFonts w:eastAsia="Symbol" w:cs="Symbol" w:ascii="Symbol" w:hAnsi="Symbol"/>
        </w:rPr>
        <w:sym w:font="Symbol" w:char="f0b7"/>
      </w:r>
      <w:r>
        <w:rPr/>
        <w:tab/>
      </w:r>
      <w:r>
        <w:rPr>
          <w:i/>
        </w:rPr>
        <w:t>An Integral for Valuation of Spread Options</w:t>
      </w:r>
      <w:r>
        <w:rPr/>
        <w:t xml:space="preserve">, SIAM Review, March, 1997. </w:t>
        <w:tab/>
        <w:tab/>
      </w:r>
    </w:p>
    <w:p>
      <w:pPr>
        <w:pStyle w:val="Normal"/>
        <w:tabs>
          <w:tab w:val="clear" w:pos="720"/>
          <w:tab w:val="left" w:pos="180" w:leader="none"/>
          <w:tab w:val="left" w:pos="990" w:leader="none"/>
          <w:tab w:val="left" w:pos="1170" w:leader="none"/>
          <w:tab w:val="left" w:pos="1260" w:leader="none"/>
          <w:tab w:val="left" w:pos="1530" w:leader="none"/>
        </w:tabs>
        <w:jc w:val="both"/>
        <w:rPr>
          <w:sz w:val="10"/>
        </w:rPr>
      </w:pPr>
      <w:r>
        <w:rPr>
          <w:sz w:val="10"/>
        </w:rPr>
      </w:r>
    </w:p>
    <w:p>
      <w:pPr>
        <w:pStyle w:val="Normal"/>
        <w:tabs>
          <w:tab w:val="clear" w:pos="720"/>
          <w:tab w:val="left" w:pos="180" w:leader="none"/>
          <w:tab w:val="left" w:pos="990" w:leader="none"/>
          <w:tab w:val="left" w:pos="1170" w:leader="none"/>
          <w:tab w:val="left" w:pos="1260" w:leader="none"/>
          <w:tab w:val="left" w:pos="1530" w:leader="none"/>
        </w:tabs>
        <w:ind w:hanging="1170" w:start="1170" w:end="0"/>
        <w:jc w:val="both"/>
        <w:rPr/>
      </w:pPr>
      <w:r>
        <w:rPr/>
        <w:tab/>
        <w:tab/>
      </w:r>
      <w:r>
        <w:rPr>
          <w:rFonts w:eastAsia="Symbol" w:cs="Symbol" w:ascii="Symbol" w:hAnsi="Symbol"/>
        </w:rPr>
        <w:sym w:font="Symbol" w:char="f0b7"/>
      </w:r>
      <w:r>
        <w:rPr/>
        <w:tab/>
      </w:r>
      <w:r>
        <w:rPr>
          <w:i/>
        </w:rPr>
        <w:t>Risk Management in the Natural Gas Industry</w:t>
      </w:r>
      <w:r>
        <w:rPr/>
        <w:t>, 2 November 1995, Graduate School of Business, Stanford University, Stanford, CA.</w:t>
      </w:r>
    </w:p>
    <w:p>
      <w:pPr>
        <w:pStyle w:val="Normal"/>
        <w:tabs>
          <w:tab w:val="clear" w:pos="720"/>
          <w:tab w:val="left" w:pos="990" w:leader="none"/>
          <w:tab w:val="left" w:pos="1170" w:leader="none"/>
          <w:tab w:val="left" w:pos="1260" w:leader="none"/>
          <w:tab w:val="left" w:pos="1530" w:leader="none"/>
        </w:tabs>
        <w:ind w:hanging="1170" w:start="1170" w:end="0"/>
        <w:rPr>
          <w:sz w:val="10"/>
        </w:rPr>
      </w:pPr>
      <w:r>
        <w:rPr>
          <w:sz w:val="10"/>
        </w:rPr>
      </w:r>
    </w:p>
    <w:p>
      <w:pPr>
        <w:pStyle w:val="Normal"/>
        <w:tabs>
          <w:tab w:val="clear" w:pos="720"/>
          <w:tab w:val="left" w:pos="180" w:leader="none"/>
          <w:tab w:val="left" w:pos="990" w:leader="none"/>
          <w:tab w:val="left" w:pos="1170" w:leader="none"/>
          <w:tab w:val="left" w:pos="1260" w:leader="none"/>
          <w:tab w:val="left" w:pos="1530" w:leader="none"/>
        </w:tabs>
        <w:ind w:hanging="1170" w:start="1170" w:end="0"/>
        <w:jc w:val="both"/>
        <w:rPr/>
      </w:pPr>
      <w:r>
        <w:rPr/>
        <w:tab/>
        <w:tab/>
      </w:r>
      <w:r>
        <w:rPr>
          <w:rFonts w:eastAsia="Symbol" w:cs="Symbol" w:ascii="Symbol" w:hAnsi="Symbol"/>
        </w:rPr>
        <w:sym w:font="Symbol" w:char="f0b7"/>
      </w:r>
      <w:r>
        <w:rPr/>
        <w:tab/>
      </w:r>
      <w:r>
        <w:rPr>
          <w:i/>
        </w:rPr>
        <w:t xml:space="preserve">Effect of Hedging on Stability and Equity Returns of a Company, </w:t>
      </w:r>
      <w:r>
        <w:rPr/>
        <w:t>Managing Energy Price Risk Conference,  8 March 1995, New York.</w:t>
      </w:r>
    </w:p>
    <w:p>
      <w:pPr>
        <w:pStyle w:val="Normal"/>
        <w:tabs>
          <w:tab w:val="clear" w:pos="720"/>
          <w:tab w:val="left" w:pos="990" w:leader="none"/>
          <w:tab w:val="left" w:pos="1170" w:leader="none"/>
          <w:tab w:val="left" w:pos="1260" w:leader="none"/>
          <w:tab w:val="left" w:pos="1530" w:leader="none"/>
        </w:tabs>
        <w:ind w:hanging="1170" w:start="1170" w:end="0"/>
        <w:rPr>
          <w:sz w:val="10"/>
        </w:rPr>
      </w:pPr>
      <w:r>
        <w:rPr>
          <w:sz w:val="10"/>
        </w:rPr>
      </w:r>
    </w:p>
    <w:p>
      <w:pPr>
        <w:pStyle w:val="Normal"/>
        <w:tabs>
          <w:tab w:val="clear" w:pos="720"/>
          <w:tab w:val="left" w:pos="180" w:leader="none"/>
          <w:tab w:val="left" w:pos="990" w:leader="none"/>
          <w:tab w:val="left" w:pos="1170" w:leader="none"/>
          <w:tab w:val="left" w:pos="1260" w:leader="none"/>
          <w:tab w:val="left" w:pos="1530" w:leader="none"/>
        </w:tabs>
        <w:ind w:hanging="1170" w:start="1170" w:end="0"/>
        <w:jc w:val="both"/>
        <w:rPr/>
      </w:pPr>
      <w:r>
        <w:rPr/>
        <w:tab/>
        <w:tab/>
      </w:r>
      <w:r>
        <w:rPr>
          <w:rFonts w:eastAsia="Symbol" w:cs="Symbol" w:ascii="Symbol" w:hAnsi="Symbol"/>
        </w:rPr>
        <w:sym w:font="Symbol" w:char="f0b7"/>
      </w:r>
      <w:r>
        <w:rPr/>
        <w:tab/>
      </w:r>
      <w:r>
        <w:rPr>
          <w:i/>
        </w:rPr>
        <w:t xml:space="preserve">Additivity of Minimum Cost in Dual Network Flow Problems, </w:t>
      </w:r>
      <w:r>
        <w:rPr/>
        <w:t xml:space="preserve">Ph.D. dissertation, June 1993, Stanford University, Stanford, CA. </w:t>
      </w:r>
    </w:p>
    <w:p>
      <w:pPr>
        <w:pStyle w:val="Normal"/>
        <w:tabs>
          <w:tab w:val="clear" w:pos="720"/>
          <w:tab w:val="left" w:pos="990" w:leader="none"/>
          <w:tab w:val="left" w:pos="1170" w:leader="none"/>
          <w:tab w:val="left" w:pos="1260" w:leader="none"/>
          <w:tab w:val="left" w:pos="1530" w:leader="none"/>
        </w:tabs>
        <w:ind w:hanging="1170" w:start="1170" w:end="0"/>
        <w:rPr>
          <w:sz w:val="10"/>
        </w:rPr>
      </w:pPr>
      <w:r>
        <w:rPr>
          <w:sz w:val="10"/>
        </w:rPr>
      </w:r>
    </w:p>
    <w:p>
      <w:pPr>
        <w:pStyle w:val="Normal"/>
        <w:tabs>
          <w:tab w:val="clear" w:pos="720"/>
          <w:tab w:val="left" w:pos="180" w:leader="none"/>
          <w:tab w:val="left" w:pos="990" w:leader="none"/>
          <w:tab w:val="left" w:pos="1170" w:leader="none"/>
          <w:tab w:val="left" w:pos="1260" w:leader="none"/>
          <w:tab w:val="left" w:pos="1530" w:leader="none"/>
        </w:tabs>
        <w:ind w:hanging="1170" w:start="1170" w:end="0"/>
        <w:jc w:val="both"/>
        <w:rPr/>
      </w:pPr>
      <w:r>
        <w:rPr/>
        <w:tab/>
        <w:tab/>
      </w:r>
      <w:r>
        <w:rPr>
          <w:rFonts w:eastAsia="Symbol" w:cs="Symbol" w:ascii="Symbol" w:hAnsi="Symbol"/>
        </w:rPr>
        <w:sym w:font="Symbol" w:char="f0b7"/>
      </w:r>
      <w:r>
        <w:rPr/>
        <w:tab/>
      </w:r>
      <w:r>
        <w:rPr>
          <w:i/>
        </w:rPr>
        <w:t>Measurement of Linear Stroke Angles in Optically Scanned Characters</w:t>
      </w:r>
      <w:r>
        <w:rPr/>
        <w:t>, June 1991, Canon Research Center America, Palo Alto, CA.</w:t>
      </w:r>
    </w:p>
    <w:p>
      <w:pPr>
        <w:pStyle w:val="Normal"/>
        <w:tabs>
          <w:tab w:val="clear" w:pos="720"/>
          <w:tab w:val="left" w:pos="180" w:leader="none"/>
          <w:tab w:val="left" w:pos="990" w:leader="none"/>
          <w:tab w:val="left" w:pos="1170" w:leader="none"/>
          <w:tab w:val="left" w:pos="1260" w:leader="none"/>
          <w:tab w:val="left" w:pos="1530" w:leader="none"/>
        </w:tabs>
        <w:ind w:hanging="1170" w:start="1170" w:end="0"/>
        <w:jc w:val="both"/>
        <w:rPr/>
      </w:pPr>
      <w:r>
        <w:rPr/>
      </w:r>
    </w:p>
    <w:p>
      <w:pPr>
        <w:pStyle w:val="Normal"/>
        <w:tabs>
          <w:tab w:val="clear" w:pos="720"/>
          <w:tab w:val="left" w:pos="990" w:leader="none"/>
          <w:tab w:val="left" w:pos="1170" w:leader="none"/>
          <w:tab w:val="left" w:pos="1260" w:leader="none"/>
        </w:tabs>
        <w:ind w:hanging="1170" w:start="1170" w:end="0"/>
        <w:rPr>
          <w:sz w:val="10"/>
        </w:rPr>
      </w:pPr>
      <w:r>
        <w:rPr>
          <w:rFonts w:cs="Arial" w:ascii="Arial" w:hAnsi="Arial"/>
          <w:b/>
          <w:sz w:val="22"/>
        </w:rPr>
        <w:t>Computer Skills</w:t>
      </w:r>
    </w:p>
    <w:p>
      <w:pPr>
        <w:pStyle w:val="Normal"/>
        <w:tabs>
          <w:tab w:val="clear" w:pos="720"/>
          <w:tab w:val="left" w:pos="990" w:leader="none"/>
          <w:tab w:val="left" w:pos="1170" w:leader="none"/>
          <w:tab w:val="left" w:pos="1260" w:leader="none"/>
        </w:tabs>
        <w:ind w:hanging="1170" w:start="1170" w:end="0"/>
        <w:rPr>
          <w:sz w:val="10"/>
        </w:rPr>
      </w:pPr>
      <w:r>
        <w:rPr>
          <w:sz w:val="10"/>
        </w:rPr>
      </w:r>
    </w:p>
    <w:p>
      <w:pPr>
        <w:pStyle w:val="Normal"/>
        <w:tabs>
          <w:tab w:val="clear" w:pos="720"/>
          <w:tab w:val="left" w:pos="990" w:leader="none"/>
          <w:tab w:val="left" w:pos="1170" w:leader="none"/>
          <w:tab w:val="left" w:pos="1260" w:leader="none"/>
          <w:tab w:val="left" w:pos="1530" w:leader="none"/>
        </w:tabs>
        <w:ind w:hanging="1170" w:start="1170" w:end="0"/>
        <w:jc w:val="both"/>
        <w:rPr/>
      </w:pPr>
      <w:r>
        <w:rPr/>
        <w:tab/>
      </w:r>
      <w:r>
        <w:rPr>
          <w:rFonts w:eastAsia="Symbol" w:cs="Symbol" w:ascii="Symbol" w:hAnsi="Symbol"/>
        </w:rPr>
        <w:sym w:font="Symbol" w:char="f0b7"/>
      </w:r>
      <w:r>
        <w:rPr/>
        <w:tab/>
        <w:t>Ph.D. Minor in Computer Science. Took several computer courses.</w:t>
      </w:r>
    </w:p>
    <w:p>
      <w:pPr>
        <w:pStyle w:val="Normal"/>
        <w:tabs>
          <w:tab w:val="clear" w:pos="720"/>
          <w:tab w:val="left" w:pos="990" w:leader="none"/>
          <w:tab w:val="left" w:pos="1170" w:leader="none"/>
          <w:tab w:val="left" w:pos="1260" w:leader="none"/>
          <w:tab w:val="left" w:pos="1530" w:leader="none"/>
        </w:tabs>
        <w:ind w:hanging="1170" w:start="1170" w:end="0"/>
        <w:rPr>
          <w:sz w:val="10"/>
        </w:rPr>
      </w:pPr>
      <w:r>
        <w:rPr>
          <w:sz w:val="10"/>
        </w:rPr>
      </w:r>
    </w:p>
    <w:p>
      <w:pPr>
        <w:pStyle w:val="Normal"/>
        <w:tabs>
          <w:tab w:val="clear" w:pos="720"/>
          <w:tab w:val="left" w:pos="990" w:leader="none"/>
          <w:tab w:val="left" w:pos="1170" w:leader="none"/>
          <w:tab w:val="left" w:pos="1260" w:leader="none"/>
          <w:tab w:val="left" w:pos="1530" w:leader="none"/>
        </w:tabs>
        <w:ind w:hanging="1170" w:start="1170" w:end="0"/>
        <w:rPr/>
      </w:pPr>
      <w:r>
        <w:rPr/>
        <w:tab/>
      </w:r>
      <w:r>
        <w:rPr>
          <w:rFonts w:eastAsia="Symbol" w:cs="Symbol" w:ascii="Symbol" w:hAnsi="Symbol"/>
        </w:rPr>
        <w:sym w:font="Symbol" w:char="f0b7"/>
      </w:r>
      <w:r>
        <w:rPr/>
        <w:tab/>
        <w:t>Programmed extensively in C, Pascal, FORTRAN, SAS, and MATLAB. Knowledgeable in object-oriented programming (C++)</w:t>
      </w:r>
    </w:p>
    <w:p>
      <w:pPr>
        <w:pStyle w:val="Normal"/>
        <w:tabs>
          <w:tab w:val="clear" w:pos="720"/>
          <w:tab w:val="left" w:pos="990" w:leader="none"/>
          <w:tab w:val="left" w:pos="1170" w:leader="none"/>
          <w:tab w:val="left" w:pos="1260" w:leader="none"/>
          <w:tab w:val="left" w:pos="1530" w:leader="none"/>
        </w:tabs>
        <w:ind w:hanging="1170" w:start="1170" w:end="0"/>
        <w:rPr>
          <w:sz w:val="10"/>
        </w:rPr>
      </w:pPr>
      <w:r>
        <w:rPr>
          <w:sz w:val="10"/>
        </w:rPr>
      </w:r>
    </w:p>
    <w:p>
      <w:pPr>
        <w:pStyle w:val="Normal"/>
        <w:tabs>
          <w:tab w:val="clear" w:pos="720"/>
          <w:tab w:val="left" w:pos="990" w:leader="none"/>
          <w:tab w:val="left" w:pos="1170" w:leader="none"/>
          <w:tab w:val="left" w:pos="1260" w:leader="none"/>
          <w:tab w:val="left" w:pos="1530" w:leader="none"/>
        </w:tabs>
        <w:ind w:hanging="1170" w:start="1170" w:end="0"/>
        <w:rPr/>
      </w:pPr>
      <w:r>
        <w:rPr/>
        <w:tab/>
      </w:r>
      <w:r>
        <w:rPr>
          <w:rFonts w:eastAsia="Symbol" w:cs="Symbol" w:ascii="Symbol" w:hAnsi="Symbol"/>
        </w:rPr>
        <w:sym w:font="Symbol" w:char="f0b7"/>
      </w:r>
      <w:r>
        <w:rPr/>
        <w:tab/>
        <w:t>Operating Systems: Experienced in UNIX, MS-DOS and Windows environment.</w:t>
      </w:r>
    </w:p>
    <w:p>
      <w:pPr>
        <w:pStyle w:val="Normal"/>
        <w:tabs>
          <w:tab w:val="clear" w:pos="720"/>
          <w:tab w:val="left" w:pos="990" w:leader="none"/>
          <w:tab w:val="left" w:pos="1170" w:leader="none"/>
          <w:tab w:val="left" w:pos="1260" w:leader="none"/>
          <w:tab w:val="left" w:pos="1530" w:leader="none"/>
        </w:tabs>
        <w:ind w:hanging="1170" w:start="1170" w:end="0"/>
        <w:rPr>
          <w:sz w:val="10"/>
        </w:rPr>
      </w:pPr>
      <w:r>
        <w:rPr>
          <w:sz w:val="10"/>
        </w:rPr>
      </w:r>
    </w:p>
    <w:p>
      <w:pPr>
        <w:pStyle w:val="Normal"/>
        <w:tabs>
          <w:tab w:val="clear" w:pos="720"/>
          <w:tab w:val="left" w:pos="990" w:leader="none"/>
          <w:tab w:val="left" w:pos="1170" w:leader="none"/>
          <w:tab w:val="left" w:pos="1260" w:leader="none"/>
          <w:tab w:val="left" w:pos="1530" w:leader="none"/>
        </w:tabs>
        <w:ind w:hanging="1170" w:start="1170" w:end="0"/>
        <w:jc w:val="both"/>
        <w:rPr/>
      </w:pPr>
      <w:r>
        <w:rPr/>
        <w:tab/>
      </w:r>
      <w:r>
        <w:rPr>
          <w:rFonts w:eastAsia="Symbol" w:cs="Symbol" w:ascii="Symbol" w:hAnsi="Symbol"/>
        </w:rPr>
        <w:sym w:font="Symbol" w:char="f0b7"/>
      </w:r>
      <w:r>
        <w:rPr/>
        <w:tab/>
        <w:t xml:space="preserve">Proficient in Excel, Scientific Workplace, Visual Basic and knowledgeable in Access. </w:t>
      </w:r>
    </w:p>
    <w:p>
      <w:pPr>
        <w:pStyle w:val="Normal"/>
        <w:tabs>
          <w:tab w:val="clear" w:pos="720"/>
          <w:tab w:val="left" w:pos="990" w:leader="none"/>
          <w:tab w:val="left" w:pos="1170" w:leader="none"/>
          <w:tab w:val="left" w:pos="1260" w:leader="none"/>
          <w:tab w:val="left" w:pos="1530" w:leader="none"/>
        </w:tabs>
        <w:ind w:hanging="1170" w:start="1170" w:end="0"/>
        <w:jc w:val="both"/>
        <w:rPr/>
      </w:pPr>
      <w:r>
        <w:rPr/>
      </w:r>
    </w:p>
    <w:p>
      <w:pPr>
        <w:pStyle w:val="Normal"/>
        <w:tabs>
          <w:tab w:val="clear" w:pos="720"/>
          <w:tab w:val="left" w:pos="990" w:leader="none"/>
          <w:tab w:val="left" w:pos="1170" w:leader="none"/>
          <w:tab w:val="left" w:pos="1260" w:leader="none"/>
        </w:tabs>
        <w:ind w:hanging="1170" w:start="1170" w:end="0"/>
        <w:rPr>
          <w:sz w:val="10"/>
        </w:rPr>
      </w:pPr>
      <w:r>
        <w:rPr>
          <w:rFonts w:cs="Arial" w:ascii="Arial" w:hAnsi="Arial"/>
          <w:b/>
          <w:sz w:val="22"/>
        </w:rPr>
        <w:t>References</w:t>
      </w:r>
    </w:p>
    <w:p>
      <w:pPr>
        <w:pStyle w:val="Normal"/>
        <w:tabs>
          <w:tab w:val="clear" w:pos="720"/>
          <w:tab w:val="left" w:pos="990" w:leader="none"/>
          <w:tab w:val="left" w:pos="1170" w:leader="none"/>
          <w:tab w:val="left" w:pos="1260" w:leader="none"/>
        </w:tabs>
        <w:ind w:hanging="1170" w:start="1170" w:end="0"/>
        <w:rPr>
          <w:sz w:val="10"/>
        </w:rPr>
      </w:pPr>
      <w:r>
        <w:rPr>
          <w:sz w:val="10"/>
        </w:rPr>
      </w:r>
    </w:p>
    <w:p>
      <w:pPr>
        <w:pStyle w:val="Normal"/>
        <w:tabs>
          <w:tab w:val="clear" w:pos="720"/>
          <w:tab w:val="left" w:pos="990" w:leader="none"/>
          <w:tab w:val="left" w:pos="1170" w:leader="none"/>
          <w:tab w:val="left" w:pos="1260" w:leader="none"/>
        </w:tabs>
        <w:ind w:hanging="1170" w:start="1170" w:end="0"/>
        <w:rPr>
          <w:sz w:val="10"/>
        </w:rPr>
      </w:pPr>
      <w:r>
        <w:rPr/>
        <w:tab/>
        <w:t>Available upon request</w:t>
      </w:r>
    </w:p>
    <w:p>
      <w:pPr>
        <w:pStyle w:val="Normal"/>
        <w:tabs>
          <w:tab w:val="clear" w:pos="720"/>
          <w:tab w:val="left" w:pos="990" w:leader="none"/>
          <w:tab w:val="left" w:pos="1170" w:leader="none"/>
          <w:tab w:val="left" w:pos="1260" w:leader="none"/>
        </w:tabs>
        <w:ind w:hanging="1170" w:start="1170" w:end="0"/>
        <w:rPr>
          <w:sz w:val="10"/>
        </w:rPr>
      </w:pPr>
      <w:r>
        <w:rPr>
          <w:sz w:val="10"/>
        </w:rPr>
      </w:r>
    </w:p>
    <w:p>
      <w:pPr>
        <w:pStyle w:val="Normal"/>
        <w:tabs>
          <w:tab w:val="clear" w:pos="720"/>
          <w:tab w:val="left" w:pos="990" w:leader="none"/>
          <w:tab w:val="left" w:pos="1170" w:leader="none"/>
          <w:tab w:val="left" w:pos="1260" w:leader="none"/>
          <w:tab w:val="left" w:pos="1530" w:leader="none"/>
        </w:tabs>
        <w:ind w:hanging="1170" w:start="1170" w:end="0"/>
        <w:jc w:val="both"/>
        <w:rPr/>
      </w:pPr>
      <w:r>
        <w:rPr/>
        <w:tab/>
      </w:r>
    </w:p>
    <w:p>
      <w:pPr>
        <w:pStyle w:val="Normal"/>
        <w:tabs>
          <w:tab w:val="clear" w:pos="720"/>
          <w:tab w:val="left" w:pos="990" w:leader="none"/>
          <w:tab w:val="left" w:pos="1170" w:leader="none"/>
          <w:tab w:val="left" w:pos="1260" w:leader="none"/>
          <w:tab w:val="left" w:pos="1530" w:leader="none"/>
        </w:tabs>
        <w:ind w:hanging="1170" w:start="1170" w:end="0"/>
        <w:jc w:val="both"/>
        <w:rPr/>
      </w:pPr>
      <w:r>
        <w:rPr/>
      </w:r>
    </w:p>
    <w:p>
      <w:pPr>
        <w:pStyle w:val="Normal"/>
        <w:tabs>
          <w:tab w:val="clear" w:pos="720"/>
          <w:tab w:val="left" w:pos="990" w:leader="none"/>
          <w:tab w:val="left" w:pos="1170" w:leader="none"/>
          <w:tab w:val="left" w:pos="1260" w:leader="none"/>
          <w:tab w:val="left" w:pos="1530" w:leader="none"/>
        </w:tabs>
        <w:ind w:hanging="1170" w:start="1170" w:end="0"/>
        <w:jc w:val="both"/>
        <w:rPr/>
      </w:pPr>
      <w:r>
        <w:rPr/>
      </w:r>
    </w:p>
    <w:sectPr>
      <w:type w:val="nextPage"/>
      <w:pgSz w:w="12240" w:h="15840"/>
      <w:pgMar w:left="1800" w:right="1800" w:gutter="0" w:header="0" w:top="1584" w:footer="0" w:bottom="15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180" w:leader="none"/>
        <w:tab w:val="left" w:pos="990" w:leader="none"/>
      </w:tabs>
      <w:ind w:hanging="1350" w:start="1350" w:end="0"/>
      <w:jc w:val="both"/>
    </w:pPr>
    <w:rPr/>
  </w:style>
  <w:style w:type="paragraph" w:styleId="BodyTextIndent2">
    <w:name w:val="Body Text Indent 2"/>
    <w:basedOn w:val="Normal"/>
    <w:qFormat/>
    <w:pPr>
      <w:tabs>
        <w:tab w:val="clear" w:pos="720"/>
        <w:tab w:val="left" w:pos="180" w:leader="none"/>
        <w:tab w:val="left" w:pos="990" w:leader="none"/>
      </w:tabs>
      <w:ind w:hanging="0" w:start="990" w:end="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ukrishna@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2001-11-26T16:29:00Z</dcterms:created>
  <dc:creator>ECT</dc:creator>
  <dc:description/>
  <dc:language>en-CA</dc:language>
  <cp:lastModifiedBy>PV Krishnarao</cp:lastModifiedBy>
  <cp:lastPrinted>2001-11-20T16:44:00Z</cp:lastPrinted>
  <dcterms:modified xsi:type="dcterms:W3CDTF">2001-11-26T16:29:00Z</dcterms:modified>
  <cp:revision>2</cp:revision>
  <dc:subject/>
  <dc:title>Pinnameneni V. Krishnarao</dc:title>
</cp:coreProperties>
</file>