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[G-P Draft -- 09/14/01]</w:t>
      </w:r>
    </w:p>
    <w:p>
      <w:pPr>
        <w:pStyle w:val="Normal"/>
        <w:jc w:val="center"/>
        <w:rPr>
          <w:b/>
        </w:rPr>
      </w:pPr>
      <w:r>
        <w:rPr>
          <w:b/>
        </w:rPr>
      </w:r>
    </w:p>
    <w:p>
      <w:pPr>
        <w:pStyle w:val="Normal"/>
        <w:rPr/>
      </w:pPr>
      <w:r>
        <w:rPr/>
        <w:t>[EXPLANATORY NOTE:</w:t>
        <w:tab/>
        <w:t>This Agreement is intended to document Enron’s obligation to purchase 100 % of the pulp produced by the Leaf River Mill for seven years at the negotiated price. Additional provisions are usually appropriate in these types of agreements – most of which benefit Enron. Accordingly, G-P believes a separate agreement is necessary. G-P is not a party to this Agreement. However, amendments to the various Ancillary Documents (during the period in which G-P owns an interest in NewCo) will require the approval of G-P.]</w:t>
      </w:r>
    </w:p>
    <w:p>
      <w:pPr>
        <w:pStyle w:val="Normal"/>
        <w:jc w:val="center"/>
        <w:rPr/>
      </w:pPr>
      <w:r>
        <w:rPr/>
      </w:r>
    </w:p>
    <w:p>
      <w:pPr>
        <w:pStyle w:val="Normal"/>
        <w:jc w:val="center"/>
        <w:rPr>
          <w:rFonts w:ascii="Arial" w:hAnsi="Arial" w:cs="Arial"/>
          <w:b/>
          <w:sz w:val="22"/>
        </w:rPr>
      </w:pPr>
      <w:r>
        <w:rPr>
          <w:rFonts w:cs="Arial" w:ascii="Arial" w:hAnsi="Arial"/>
          <w:b/>
          <w:sz w:val="22"/>
        </w:rPr>
        <w:t>PULP PURCHASE AND SALE AGREEMENT</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ab/>
        <w:t xml:space="preserve">This Pulp Purchase and Sale Agreement (the “Agreement”) is made this _____________ day of _____, 2001 (the “Effective Date”), by and between NEWCO, LLC, a Delaware limited liability company (“Seller”) with its principal place of business at 1400 Smith Street, Houston, Texas 77002 and ENRON INDUSTRIAL MARKETS, L.L.C., a _______limited liability company and a wholly owned subsidiary of Enron Corp. (“Buyer”) with a principal place of business at 1400 Smith Street, Houston, Texas 77002. </w:t>
      </w:r>
    </w:p>
    <w:p>
      <w:pPr>
        <w:pStyle w:val="Normal"/>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WHEREAS, Seller desires to sell to Buyer and Buyer desires to purchase from Seller, Leaf River Southern Softwood Kraft Pulp (“Pulp”) upon the terms and conditions hereinafter set forth.</w:t>
      </w:r>
    </w:p>
    <w:p>
      <w:pPr>
        <w:pStyle w:val="Normal"/>
        <w:ind w:firstLine="36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NOW, THEREFORE, in consideration of the mutual covenants and agreements hereinafter set forth, the parties hereby agree that Buyer will purchase and receive from Seller and Seller will sell and deliver to Buyer, Pulp in the quantities and subject to the terms and conditions hereinafter stated, including Exhibit A, attached hereto and incorporated herein by reference, as follows:</w:t>
      </w:r>
    </w:p>
    <w:p>
      <w:pPr>
        <w:pStyle w:val="Normal"/>
        <w:rPr>
          <w:rFonts w:ascii="Arial" w:hAnsi="Arial" w:cs="Arial"/>
          <w:sz w:val="22"/>
        </w:rPr>
      </w:pPr>
      <w:r>
        <w:rPr>
          <w:rFonts w:cs="Arial" w:ascii="Arial" w:hAnsi="Arial"/>
          <w:sz w:val="22"/>
        </w:rPr>
      </w:r>
    </w:p>
    <w:p>
      <w:pPr>
        <w:pStyle w:val="Normal"/>
        <w:numPr>
          <w:ilvl w:val="0"/>
          <w:numId w:val="3"/>
        </w:numPr>
        <w:tabs>
          <w:tab w:val="clear" w:pos="720"/>
        </w:tabs>
        <w:spacing w:before="0" w:after="240"/>
        <w:ind w:firstLine="720" w:start="0" w:end="0"/>
        <w:rPr>
          <w:rFonts w:ascii="Arial" w:hAnsi="Arial" w:cs="Arial"/>
          <w:sz w:val="22"/>
        </w:rPr>
      </w:pPr>
      <w:r>
        <w:rPr>
          <w:rFonts w:cs="Arial" w:ascii="Arial" w:hAnsi="Arial"/>
          <w:sz w:val="22"/>
          <w:u w:val="single"/>
        </w:rPr>
        <w:t>TERM</w:t>
      </w:r>
      <w:r>
        <w:rPr>
          <w:rFonts w:cs="Arial" w:ascii="Arial" w:hAnsi="Arial"/>
          <w:sz w:val="22"/>
        </w:rPr>
        <w:t>.  The Initial Term of this Agreement shall be for seven (7) years. The Term may be extended for additional, successive one (1) year periods after the end of the Initial Term, but only by mutual agreement between the parties.</w:t>
      </w:r>
    </w:p>
    <w:p>
      <w:pPr>
        <w:pStyle w:val="Normal"/>
        <w:spacing w:before="0" w:after="240"/>
        <w:ind w:firstLine="720" w:end="0"/>
        <w:rPr/>
      </w:pPr>
      <w:r>
        <w:rPr>
          <w:rFonts w:cs="Arial" w:ascii="Arial" w:hAnsi="Arial"/>
          <w:sz w:val="22"/>
        </w:rPr>
        <w:t>2.</w:t>
        <w:tab/>
      </w:r>
      <w:r>
        <w:rPr>
          <w:rFonts w:cs="Arial" w:ascii="Arial" w:hAnsi="Arial"/>
          <w:sz w:val="22"/>
          <w:u w:val="single"/>
        </w:rPr>
        <w:t>QUANTITY</w:t>
      </w:r>
      <w:r>
        <w:rPr>
          <w:rFonts w:cs="Arial" w:ascii="Arial" w:hAnsi="Arial"/>
          <w:sz w:val="22"/>
        </w:rPr>
        <w:t xml:space="preserve">.  The quantity of Pulp to be purchased and delivered hereunder shall be one hundred percent (100%) of the Pulp produced by Seller’s Leaf River Pulp Mill, located in New Augusta, Mississippi. </w:t>
      </w:r>
    </w:p>
    <w:p>
      <w:pPr>
        <w:pStyle w:val="Normal"/>
        <w:spacing w:before="0" w:after="240"/>
        <w:ind w:firstLine="720" w:end="0"/>
        <w:rPr/>
      </w:pPr>
      <w:r>
        <w:rPr>
          <w:rFonts w:cs="Arial" w:ascii="Arial" w:hAnsi="Arial"/>
          <w:sz w:val="22"/>
        </w:rPr>
        <w:t>3.</w:t>
        <w:tab/>
      </w:r>
      <w:r>
        <w:rPr>
          <w:rFonts w:cs="Arial" w:ascii="Arial" w:hAnsi="Arial"/>
          <w:sz w:val="22"/>
          <w:u w:val="single"/>
        </w:rPr>
        <w:t>PRICE</w:t>
      </w:r>
      <w:r>
        <w:rPr>
          <w:rFonts w:cs="Arial" w:ascii="Arial" w:hAnsi="Arial"/>
          <w:sz w:val="22"/>
        </w:rPr>
        <w:t xml:space="preserve">.  The Price for Pulp each month shall be based on the previous month’s published RISI price, delivered into the United States with no freight allowances, less a fixed discount of eleven percent (11%). Prices and delivery are F.O.B. Buyer’s location, with Seller selecting the mode of transportation and carrier, and with Seller paying for all costs of transporting Pulp to Buyer’s designated locations.  </w:t>
      </w:r>
    </w:p>
    <w:p>
      <w:pPr>
        <w:pStyle w:val="Normal"/>
        <w:spacing w:before="0" w:after="240"/>
        <w:ind w:firstLine="720" w:end="0"/>
        <w:rPr/>
      </w:pPr>
      <w:r>
        <w:rPr>
          <w:rFonts w:cs="Arial" w:ascii="Arial" w:hAnsi="Arial"/>
          <w:sz w:val="22"/>
        </w:rPr>
        <w:t>4.</w:t>
        <w:tab/>
      </w:r>
      <w:r>
        <w:rPr>
          <w:rFonts w:cs="Arial" w:ascii="Arial" w:hAnsi="Arial"/>
          <w:sz w:val="22"/>
          <w:u w:val="single"/>
        </w:rPr>
        <w:t>PAYMENT TERMS</w:t>
      </w:r>
      <w:r>
        <w:rPr>
          <w:rFonts w:cs="Arial" w:ascii="Arial" w:hAnsi="Arial"/>
          <w:sz w:val="22"/>
        </w:rPr>
        <w:t>.</w:t>
        <w:tab/>
        <w:t>Seller will accumulate invoices for all shipments made during a specific calendar month and will send one invoice to Buyer at the end of each calendar month for all shipments during that calendar month. Payment terms are 1% ten, net 30 days.</w:t>
      </w:r>
    </w:p>
    <w:p>
      <w:pPr>
        <w:pStyle w:val="BodyTextIndent3"/>
        <w:ind w:firstLine="720" w:start="0" w:end="0"/>
        <w:rPr/>
      </w:pPr>
      <w:r>
        <w:rPr>
          <w:rFonts w:cs="Arial" w:ascii="Arial" w:hAnsi="Arial"/>
          <w:sz w:val="22"/>
        </w:rPr>
        <w:t>5.</w:t>
        <w:tab/>
      </w:r>
      <w:r>
        <w:rPr>
          <w:rFonts w:cs="Arial" w:ascii="Arial" w:hAnsi="Arial"/>
          <w:sz w:val="22"/>
          <w:u w:val="single"/>
        </w:rPr>
        <w:t>WARRANTY</w:t>
      </w:r>
      <w:r>
        <w:rPr>
          <w:rFonts w:cs="Arial" w:ascii="Arial" w:hAnsi="Arial"/>
          <w:sz w:val="22"/>
        </w:rPr>
        <w:t>.  Seller warrants that the Pulp purchased and delivered hereunder shall meet the specifications for such Pulp as set forth in Exhibit A, attached hereto and incorporated herein by reference.  Seller further warrants that it will have good title to the Pulp supplied hereunder and that such Pulp shall be delivered free and clear of any liens or claims by any third party. SELLER MAKES NO OTHER WARRANTY OF ANY KIND, EXPRESSED OR IMPLIED, SPECIFICALLY EXCLUDING ANY IMPLIED WARRANTY OF MERCHANTABILITY OR FITNESS FOR A PARTICULAR PURPOSE.</w:t>
      </w:r>
    </w:p>
    <w:p>
      <w:pPr>
        <w:pStyle w:val="Normal"/>
        <w:spacing w:before="0" w:after="240"/>
        <w:ind w:firstLine="720" w:end="0"/>
        <w:rPr/>
      </w:pPr>
      <w:r>
        <w:rPr>
          <w:rFonts w:cs="Arial" w:ascii="Arial" w:hAnsi="Arial"/>
          <w:sz w:val="22"/>
        </w:rPr>
        <w:t>6.</w:t>
        <w:tab/>
      </w:r>
      <w:r>
        <w:rPr>
          <w:rFonts w:cs="Arial" w:ascii="Arial" w:hAnsi="Arial"/>
          <w:sz w:val="22"/>
          <w:u w:val="single"/>
        </w:rPr>
        <w:t>SPECIFICATIONS</w:t>
      </w:r>
      <w:r>
        <w:rPr>
          <w:rFonts w:cs="Arial" w:ascii="Arial" w:hAnsi="Arial"/>
          <w:sz w:val="22"/>
        </w:rPr>
        <w:t>.</w:t>
        <w:tab/>
        <w:t>In the event that either party desires to in any way change the Specifications set forth in Exhibit A, the party desiring the change shall propose in writing such specific change to the other party. The party receiving such proposal shall notify the party desiring such change of its agreement or disagreement within ten business days after receiving such a request. In the event the parties agree, Exhibit A shall be amended to reflect such changes. In the event of disagreement, the dispute resolution process set forth in Section 7 shall be used to resolve the disagreement.</w:t>
      </w:r>
    </w:p>
    <w:p>
      <w:pPr>
        <w:pStyle w:val="Normal"/>
        <w:spacing w:before="0" w:after="240"/>
        <w:ind w:firstLine="720" w:end="0"/>
        <w:rPr>
          <w:rFonts w:ascii="Arial" w:hAnsi="Arial" w:cs="Arial"/>
          <w:sz w:val="22"/>
        </w:rPr>
      </w:pPr>
      <w:r>
        <w:rPr>
          <w:rFonts w:cs="Arial" w:ascii="Arial" w:hAnsi="Arial"/>
          <w:sz w:val="22"/>
        </w:rPr>
        <w:t>As used herein, the term “ton” shall mean 2000 pounds air dry weight, including ten percent (10%) atmospheric moisture. Seller may supply Pulp with a greater or lesser degree of moisture content, but shall charge only for the amount of air-dry pulp in each shipment.</w:t>
      </w:r>
    </w:p>
    <w:p>
      <w:pPr>
        <w:pStyle w:val="BodyTextIndent3"/>
        <w:ind w:firstLine="1440" w:start="0" w:end="0"/>
        <w:rPr>
          <w:rFonts w:ascii="Arial" w:hAnsi="Arial" w:cs="Arial"/>
          <w:sz w:val="22"/>
        </w:rPr>
      </w:pPr>
      <w:r>
        <w:rPr>
          <w:rFonts w:cs="Arial" w:ascii="Arial" w:hAnsi="Arial"/>
          <w:sz w:val="22"/>
        </w:rPr>
        <w:t>(a)</w:t>
        <w:tab/>
        <w:t>Buyer shall be entitled to sample and test Pulp. Should Buyer dispute the air-dry content of the Pulp as invoiced, any claim shall be based on tests made in accordance with the procedures for testing woodpulp adopted by the Joint Committee on Testing of the American Paper Institute and the Technical Association of the Pulp and Paper Industry.</w:t>
      </w:r>
    </w:p>
    <w:p>
      <w:pPr>
        <w:pStyle w:val="BodyTextIndent3"/>
        <w:ind w:firstLine="1440" w:start="0" w:end="0"/>
        <w:rPr>
          <w:rFonts w:ascii="Arial" w:hAnsi="Arial" w:cs="Arial"/>
          <w:sz w:val="22"/>
        </w:rPr>
      </w:pPr>
      <w:r>
        <w:rPr>
          <w:rFonts w:cs="Arial" w:ascii="Arial" w:hAnsi="Arial"/>
          <w:sz w:val="22"/>
        </w:rPr>
        <w:t>(b)</w:t>
        <w:tab/>
        <w:t>If tests made by Buyer show a difference of more than one percent (1%) in air-dry content of the Pulp, Buyer shall submit a request for a retest and shall provide Seller with the results of tests performed by Buyer. No retest may be requested of Buyer’s tests show a difference of less than one percent (1%).</w:t>
      </w:r>
    </w:p>
    <w:p>
      <w:pPr>
        <w:pStyle w:val="BodyTextIndent3"/>
        <w:ind w:firstLine="1440" w:start="0" w:end="0"/>
        <w:rPr>
          <w:rFonts w:ascii="Arial" w:hAnsi="Arial" w:cs="Arial"/>
          <w:sz w:val="22"/>
        </w:rPr>
      </w:pPr>
      <w:r>
        <w:rPr>
          <w:rFonts w:cs="Arial" w:ascii="Arial" w:hAnsi="Arial"/>
          <w:sz w:val="22"/>
        </w:rPr>
        <w:t>(c)</w:t>
        <w:tab/>
        <w:t>If Buyer requests a retest as provided in Section 6(b), the shipment of Pulp for which such retest was requested shall be held by Buyer and Seller, either directly or through its agent, shall be immediately notified by facsimile or by mail of Buyer’s test results. Within fifteen (15) days following such notification, a retest shall be made by an independent third party agreed upon by Buyer and Seller. In the event that Buyer and Seller cannot agree on such independent third party, the Secretary of the American Paper Institute or, in his absence, the Acting Secretary, shall appoint such independent third party to conduct a retest. In this event, the result of such retest shall be binding upon both Buyer and Seller.</w:t>
      </w:r>
    </w:p>
    <w:p>
      <w:pPr>
        <w:pStyle w:val="BodyTextIndent3"/>
        <w:ind w:firstLine="1440" w:start="0" w:end="0"/>
        <w:rPr>
          <w:rFonts w:ascii="Arial" w:hAnsi="Arial" w:cs="Arial"/>
          <w:sz w:val="22"/>
        </w:rPr>
      </w:pPr>
      <w:r>
        <w:rPr>
          <w:rFonts w:cs="Arial" w:ascii="Arial" w:hAnsi="Arial"/>
          <w:sz w:val="22"/>
        </w:rPr>
        <w:t xml:space="preserve">(d) </w:t>
        <w:tab/>
        <w:t>If the results of the retest indicate that the difference in air dry weight between that invoiced and the retest is less than one percent (1%), the invoiced weight shall stand and all costs of the retest conducted by the independent third party shall be borne by Buyer. Otherwise, a revised invoice shall be submitted to Buyer by Seller and all costs of the retest shall be borne by Seller.</w:t>
      </w:r>
    </w:p>
    <w:p>
      <w:pPr>
        <w:pStyle w:val="BodyTextIndent3"/>
        <w:ind w:firstLine="1440" w:start="0" w:end="0"/>
        <w:rPr>
          <w:rFonts w:ascii="Arial" w:hAnsi="Arial" w:cs="Arial"/>
          <w:sz w:val="22"/>
        </w:rPr>
      </w:pPr>
      <w:r>
        <w:rPr>
          <w:rFonts w:cs="Arial" w:ascii="Arial" w:hAnsi="Arial"/>
          <w:sz w:val="22"/>
        </w:rPr>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DISPUTE RESOLUTION</w:t>
      </w:r>
      <w:r>
        <w:rPr>
          <w:rFonts w:cs="Arial" w:ascii="Arial" w:hAnsi="Arial"/>
          <w:sz w:val="22"/>
        </w:rPr>
        <w:t>.</w:t>
      </w:r>
    </w:p>
    <w:p>
      <w:pPr>
        <w:pStyle w:val="BodyTextIndent3"/>
        <w:numPr>
          <w:ilvl w:val="0"/>
          <w:numId w:val="5"/>
        </w:numPr>
        <w:tabs>
          <w:tab w:val="clear" w:pos="720"/>
        </w:tabs>
        <w:ind w:firstLine="1440" w:start="0" w:end="0"/>
        <w:rPr>
          <w:rFonts w:ascii="Arial" w:hAnsi="Arial" w:cs="Arial"/>
          <w:sz w:val="22"/>
        </w:rPr>
      </w:pPr>
      <w:r>
        <w:rPr>
          <w:rFonts w:cs="Arial" w:ascii="Arial" w:hAnsi="Arial"/>
          <w:sz w:val="22"/>
        </w:rPr>
        <w:t>The parties will attempt in good faith to resolve any controversy or claim arising out of or relating to this Agreement promptly by negotiations between senior executives of the parties who have authority to settle the controversy (and who do not have direct responsibility for administration of this Agreement).  All documents which are prepared pursuant to the provisions of this Section 7 shall be for settlement purposes and shall not be admissible as evidence in any court or other legal proceeding.</w:t>
      </w:r>
    </w:p>
    <w:p>
      <w:pPr>
        <w:pStyle w:val="BodyTextIndent3"/>
        <w:numPr>
          <w:ilvl w:val="0"/>
          <w:numId w:val="5"/>
        </w:numPr>
        <w:tabs>
          <w:tab w:val="clear" w:pos="720"/>
        </w:tabs>
        <w:ind w:firstLine="1440" w:start="0" w:end="0"/>
        <w:rPr>
          <w:rFonts w:ascii="Arial" w:hAnsi="Arial" w:cs="Arial"/>
          <w:sz w:val="22"/>
        </w:rPr>
      </w:pPr>
      <w:r>
        <w:rPr>
          <w:rFonts w:cs="Arial" w:ascii="Arial" w:hAnsi="Arial"/>
          <w:sz w:val="22"/>
        </w:rPr>
        <w:t>The disputing party shall give the other party written notice of the dispute.  Within twenty (20) days after receipt of said notice, the receiving party shall submit to the other a written response.  The notice and response shall include: (a) a statement of that party’s position and a summary of the evidence and arguments supporting its position; and (b) the name and title of the senior executive who will represent that party.  The senior executives shall meet for negotiations at a mutually agreed time and place within thirty (30) days of the date of the disputing party’s notice and thereafter as often as they reasonably deem necessary to exchange relevant information and to attempt to resolve the dispute.</w:t>
      </w:r>
    </w:p>
    <w:p>
      <w:pPr>
        <w:pStyle w:val="BodyTextIndent3"/>
        <w:numPr>
          <w:ilvl w:val="0"/>
          <w:numId w:val="5"/>
        </w:numPr>
        <w:tabs>
          <w:tab w:val="clear" w:pos="720"/>
        </w:tabs>
        <w:ind w:firstLine="1440" w:start="0" w:end="0"/>
        <w:rPr>
          <w:rFonts w:ascii="Arial" w:hAnsi="Arial" w:cs="Arial"/>
          <w:sz w:val="22"/>
        </w:rPr>
      </w:pPr>
      <w:r>
        <w:rPr>
          <w:rFonts w:cs="Arial" w:ascii="Arial" w:hAnsi="Arial"/>
          <w:sz w:val="22"/>
        </w:rPr>
        <w:t>If the matter has not been resolved within sixty (60) days of the disputing party’s notice, or if the party receiving said notice will not meet within thirty (30) days, the parties will attempt in good faith to resolve the controversy or claim by mediation in accordance with the Center for Public Resources model procedures for mediation of business/commercial disputes.</w:t>
      </w:r>
    </w:p>
    <w:p>
      <w:pPr>
        <w:pStyle w:val="BodyTextIndent3"/>
        <w:numPr>
          <w:ilvl w:val="0"/>
          <w:numId w:val="5"/>
        </w:numPr>
        <w:tabs>
          <w:tab w:val="clear" w:pos="720"/>
        </w:tabs>
        <w:ind w:firstLine="1440" w:start="0" w:end="0"/>
        <w:rPr>
          <w:rFonts w:ascii="Arial" w:hAnsi="Arial" w:cs="Arial"/>
          <w:sz w:val="22"/>
        </w:rPr>
      </w:pPr>
      <w:r>
        <w:rPr>
          <w:rFonts w:cs="Arial" w:ascii="Arial" w:hAnsi="Arial"/>
          <w:sz w:val="22"/>
        </w:rPr>
        <w:t xml:space="preserve">If the matter has not been resolved pursuant to the aforesaid mediation procedure within sixty (60) days of the commencement of such procedure, or if either party will not participate in mediation, either party will be free to institute legal proceedings exclusively in (a) the State Court of New York, Manhattan, or (b) the United States District Court for the Southern District of New York located in New York, New York.  </w:t>
      </w:r>
    </w:p>
    <w:p>
      <w:pPr>
        <w:pStyle w:val="BodyTextIndent3"/>
        <w:numPr>
          <w:ilvl w:val="0"/>
          <w:numId w:val="5"/>
        </w:numPr>
        <w:tabs>
          <w:tab w:val="clear" w:pos="720"/>
        </w:tabs>
        <w:ind w:firstLine="1440" w:start="0" w:end="0"/>
        <w:rPr>
          <w:rFonts w:ascii="Arial" w:hAnsi="Arial" w:cs="Arial"/>
          <w:sz w:val="22"/>
        </w:rPr>
      </w:pPr>
      <w:r>
        <w:rPr>
          <w:rFonts w:cs="Arial" w:ascii="Arial" w:hAnsi="Arial"/>
          <w:sz w:val="22"/>
        </w:rPr>
        <w:t>All deadlines and locations specified in this Article may be changed by mutual agreement.</w:t>
      </w:r>
    </w:p>
    <w:p>
      <w:pPr>
        <w:pStyle w:val="BodyTextIndent3"/>
        <w:numPr>
          <w:ilvl w:val="0"/>
          <w:numId w:val="5"/>
        </w:numPr>
        <w:tabs>
          <w:tab w:val="clear" w:pos="720"/>
        </w:tabs>
        <w:ind w:firstLine="1440" w:start="0" w:end="0"/>
        <w:rPr>
          <w:rFonts w:ascii="Arial" w:hAnsi="Arial" w:cs="Arial"/>
          <w:sz w:val="22"/>
        </w:rPr>
      </w:pPr>
      <w:r>
        <w:rPr>
          <w:rFonts w:cs="Arial" w:ascii="Arial" w:hAnsi="Arial"/>
          <w:sz w:val="22"/>
        </w:rPr>
        <w:t>The procedures specified in this Article shall be the sole and exclusive procedures for the resolution of disputes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Article.  All applicable statutes of limitation shall be tolled while the procedures specified in this Article are pending.  The parties will take such action, if any, required to effectuate such tolling.</w:t>
      </w:r>
    </w:p>
    <w:p>
      <w:pPr>
        <w:pStyle w:val="BodyTextIndent3"/>
        <w:numPr>
          <w:ilvl w:val="0"/>
          <w:numId w:val="2"/>
        </w:numPr>
        <w:rPr>
          <w:rFonts w:ascii="Arial" w:hAnsi="Arial" w:cs="Arial"/>
          <w:sz w:val="22"/>
        </w:rPr>
      </w:pPr>
      <w:r>
        <w:rPr>
          <w:rFonts w:cs="Arial" w:ascii="Arial" w:hAnsi="Arial"/>
          <w:sz w:val="22"/>
          <w:u w:val="single"/>
        </w:rPr>
        <w:t>INDEMNIFICATION.</w:t>
      </w:r>
    </w:p>
    <w:p>
      <w:pPr>
        <w:pStyle w:val="BodyTextIndent3"/>
        <w:numPr>
          <w:ilvl w:val="0"/>
          <w:numId w:val="4"/>
        </w:numPr>
        <w:tabs>
          <w:tab w:val="clear" w:pos="720"/>
        </w:tabs>
        <w:ind w:firstLine="1440" w:start="0" w:end="0"/>
        <w:rPr>
          <w:rFonts w:ascii="Arial" w:hAnsi="Arial" w:cs="Arial"/>
          <w:sz w:val="22"/>
        </w:rPr>
      </w:pPr>
      <w:r>
        <w:rPr>
          <w:rFonts w:cs="Arial" w:ascii="Arial" w:hAnsi="Arial"/>
          <w:sz w:val="22"/>
        </w:rPr>
        <w:t>Subject in each case to the terms and conditions otherwise contained in this Agreement, each party shall defend, indemnify and hold harmless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arising out of any failure to comply with a material provision of this Agreement, as well as personal injury (including death) and, in addition, loss of or damage to property.</w:t>
      </w:r>
    </w:p>
    <w:p>
      <w:pPr>
        <w:pStyle w:val="BodyTextIndent3"/>
        <w:numPr>
          <w:ilvl w:val="0"/>
          <w:numId w:val="4"/>
        </w:numPr>
        <w:tabs>
          <w:tab w:val="clear" w:pos="720"/>
        </w:tabs>
        <w:ind w:firstLine="1440" w:start="0" w:end="0"/>
        <w:rPr>
          <w:rFonts w:ascii="Arial" w:hAnsi="Arial" w:cs="Arial"/>
          <w:sz w:val="22"/>
        </w:rPr>
      </w:pPr>
      <w:r>
        <w:rPr>
          <w:rFonts w:cs="Arial" w:ascii="Arial" w:hAnsi="Arial"/>
          <w:sz w:val="22"/>
        </w:rPr>
        <w:t>IN NO EVENT SHALL EITHER PARTY BE LIABLE TO THE OTHER FOR ANY INCIDENTAL, CONSEQUENTIAL, INDIRECT, SPECIAL OR PUNITIVE DAMAGES, OR LOST REVENUES OR PROFITS, ARISING OUT OF OR IN CONNECTION WITH THE PROVISION OF WOOD FIBER, OR THE PERFORMANCE, OR FAILURE TO PERFORM IN ACCORDANCE WITH THIS AGREEMENT.</w:t>
      </w:r>
    </w:p>
    <w:p>
      <w:pPr>
        <w:pStyle w:val="BodyTextIndent3"/>
        <w:numPr>
          <w:ilvl w:val="0"/>
          <w:numId w:val="4"/>
        </w:numPr>
        <w:tabs>
          <w:tab w:val="clear" w:pos="720"/>
        </w:tabs>
        <w:ind w:firstLine="1440" w:start="0" w:end="0"/>
        <w:rPr>
          <w:rFonts w:ascii="Arial" w:hAnsi="Arial" w:cs="Arial"/>
          <w:sz w:val="22"/>
        </w:rPr>
      </w:pPr>
      <w:r>
        <w:rPr>
          <w:rFonts w:cs="Arial" w:ascii="Arial" w:hAnsi="Arial"/>
          <w:sz w:val="22"/>
        </w:rPr>
        <w:t>No action arising out of this Agreement shall be commenced later than one (1) year after the cause of action has accrued; otherwise such cause of action shall be barred notwithstanding any statutory period of limitations to the contrary.</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REMEDIES</w:t>
      </w:r>
      <w:r>
        <w:rPr>
          <w:rFonts w:cs="Arial" w:ascii="Arial" w:hAnsi="Arial"/>
          <w:sz w:val="22"/>
        </w:rPr>
        <w:t>.</w:t>
        <w:tab/>
        <w:t xml:space="preserve">In the event that Buyer fails or is unable to, for any reason other than Force Majeure, to purchase the quantities of Pulp set forth in Exhibit A, then, Seller may sell an amount of Pulp equivalent to the amount of shortfall in Buyer’s purchases of such Pulp to any other buyer or buyers, and Buyer shall reimburse Seller for the reasonable difference between Seller’s price to such other buyers and the price Buyer would have paid for such Pulp in accordance with this Agreement.  Seller shall make a commercially reasonable effort to sell the Pulp at fair market prices and shall use its best efforts to mitigate its damages. </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FORCE MAJEURE</w:t>
      </w:r>
      <w:r>
        <w:rPr>
          <w:rFonts w:cs="Arial" w:ascii="Arial" w:hAnsi="Arial"/>
          <w:sz w:val="22"/>
        </w:rPr>
        <w:t>.  Buyer and Seller shall be excused from performing their respective obligations under this Agreement to the extent that such performance is prevented by fire, storm, flood, earthquake, explosion, accidents, riots, acts of God, acts of the public enemy, sabotage, strikes, laws, regulations, acts of the Federal, or any state or local, Government, including any subdivisions, branches or agencies thereof, or any</w:t>
      </w:r>
      <w:r>
        <w:rPr>
          <w:rFonts w:cs="Arial" w:ascii="Arial" w:hAnsi="Arial"/>
          <w:b/>
          <w:sz w:val="22"/>
        </w:rPr>
        <w:t xml:space="preserve"> </w:t>
      </w:r>
      <w:r>
        <w:rPr>
          <w:rFonts w:cs="Arial" w:ascii="Arial" w:hAnsi="Arial"/>
          <w:sz w:val="22"/>
        </w:rPr>
        <w:t xml:space="preserve">other cause (whether of the same or a different character than specified herein) in each case beyond the reasonable control of the party which is not able to perform its respective obligations under this Agreement.  Seller agrees that if it is unable to perform any of its obligations under this Agreement because of any </w:t>
      </w:r>
      <w:r>
        <w:rPr>
          <w:rFonts w:cs="Arial" w:ascii="Arial" w:hAnsi="Arial"/>
          <w:i/>
          <w:sz w:val="22"/>
        </w:rPr>
        <w:t>force majeure</w:t>
      </w:r>
      <w:r>
        <w:rPr>
          <w:rFonts w:cs="Arial" w:ascii="Arial" w:hAnsi="Arial"/>
          <w:sz w:val="22"/>
        </w:rPr>
        <w:t xml:space="preserve"> event, Seller shall use all commercially reasonable efforts to supply Buyer’s requirements for Pulp from other plants or sources.  If Seller satisfies Buyer’s orders from such other plants or sources, any incremental costs and expenses shall be paid by Seller.</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RISK OF LOSS</w:t>
      </w:r>
      <w:r>
        <w:rPr>
          <w:rFonts w:cs="Arial" w:ascii="Arial" w:hAnsi="Arial"/>
          <w:sz w:val="22"/>
        </w:rPr>
        <w:t>.  Irrespective of F.O.B. designation or any provision with respect to freight, the title and risk of loss shall pass to Buyer upon delivery of Products to such delivery point as is designated by Buyer.  Buyer may assist Seller in processing claims against carriers without incurring liability therefor.</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DEFAULT</w:t>
      </w:r>
      <w:r>
        <w:rPr>
          <w:rFonts w:cs="Arial" w:ascii="Arial" w:hAnsi="Arial"/>
          <w:sz w:val="22"/>
        </w:rPr>
        <w:t>. In the event either party breaches any of the material terms and conditions of this Agreement, the other party shall notify the breaching party in writing of such breach and the breaching party shall have thirty (30) days to remedy such breach (unless the breach is in the payment of any amount when due, in which case the breaching party shall have seven (7) days to remedy such breach).  Upon a failure to remedy any such breach within such respective cure periods, the non-breaching party shall have all rights and remedies accorded a seller or buyer, respectively, for breach or repudiation of a sales contract under the Uniform Commercial Code as enacted in the State of New York.</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NON-WAIVER</w:t>
      </w:r>
      <w:r>
        <w:rPr>
          <w:rFonts w:cs="Arial" w:ascii="Arial" w:hAnsi="Arial"/>
          <w:sz w:val="22"/>
        </w:rPr>
        <w:t>. Any of the terms or conditions of this Agreement that can be lawfully waived may be waived in writing at any time by the party who is entitled to the benefits of such term or condition.  Any waiver of any of the provisions or obligations of this Agreement by either party to this Agreement shall be binding only if set forth in an instrument in writing signed by or on behalf of the party waiving such provisions or obligations.  No failure to enforce any provision or obligation of this Agreement shall be deemed to, or shall constitute a waiver of, such provision and no waiver of any of the provisions of this Agreement shall be deemed to, or shall constitute a waiver of, any other provision or obligation of this Agreement, nor shall such waiver constitute a continuing waiver.</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INSOLVENCY</w:t>
      </w:r>
      <w:r>
        <w:rPr>
          <w:rFonts w:cs="Arial" w:ascii="Arial" w:hAnsi="Arial"/>
          <w:sz w:val="22"/>
        </w:rPr>
        <w:t>. Buyer and Seller shall be excused from performing their respective obligations under this Agreement if the other party becomes insolvent or bankrupt.  Buyer or Seller shall be deemed insolvent or bankrupt if any of the following events occurs:  (a) Buyer or Seller is unable to pay its bills or debt as they become due in the ordinary course; (b) a trustee or receiver is appointed to oversee the assets, property or operations of the Buyer or Seller; (c) a petition in bankruptcy, voluntary or involuntary, is filed by or against Buyer or Seller; (d) Buyer or Seller liquidates its respective business; (e) a substantial part of Buyer’s or Seller’s assets are attached or seized pursuant to legal process; or (f) Buyer or Seller makes a general assignment for the benefit of creditors.</w:t>
      </w:r>
      <w:r>
        <w:rPr>
          <w:rFonts w:cs="Arial" w:ascii="Arial" w:hAnsi="Arial"/>
          <w:b/>
          <w:sz w:val="22"/>
        </w:rPr>
        <w:t xml:space="preserve"> </w:t>
      </w:r>
      <w:r>
        <w:rPr>
          <w:rFonts w:cs="Arial" w:ascii="Arial" w:hAnsi="Arial"/>
          <w:sz w:val="22"/>
        </w:rPr>
        <w:t xml:space="preserve"> On the occurrence of any event constituting insolvency or bankruptcy by either Buyer or Seller, the other party may terminate this Agreement and any amounts owed under this Agreement shall be immediately due and payable.</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CHOICE OF LAW</w:t>
      </w:r>
      <w:r>
        <w:rPr>
          <w:rFonts w:cs="Arial" w:ascii="Arial" w:hAnsi="Arial"/>
          <w:sz w:val="22"/>
        </w:rPr>
        <w:t>.  This Agreement and the obligations of the parties hereunder shall be governed and construed according to the laws of the State of New York without reference to the choice of law principles thereof.</w:t>
      </w:r>
    </w:p>
    <w:p>
      <w:pPr>
        <w:pStyle w:val="BodyTextIndent3"/>
        <w:numPr>
          <w:ilvl w:val="0"/>
          <w:numId w:val="2"/>
        </w:numPr>
        <w:tabs>
          <w:tab w:val="clear" w:pos="720"/>
        </w:tabs>
        <w:ind w:firstLine="720" w:start="0" w:end="0"/>
        <w:rPr>
          <w:rFonts w:ascii="Arial" w:hAnsi="Arial" w:cs="Arial"/>
          <w:sz w:val="22"/>
        </w:rPr>
      </w:pPr>
      <w:r>
        <w:rPr>
          <w:rFonts w:cs="Arial" w:ascii="Arial" w:hAnsi="Arial"/>
          <w:sz w:val="22"/>
          <w:u w:val="single"/>
        </w:rPr>
        <w:t>NOTICES</w:t>
      </w:r>
      <w:r>
        <w:rPr>
          <w:rFonts w:cs="Arial" w:ascii="Arial" w:hAnsi="Arial"/>
          <w:sz w:val="22"/>
        </w:rPr>
        <w:t>. All communications, notices and exchanges of information contemplated herein or required or permitted to be given in connection with this Agreement shall be in writing, and shall be deemed to have been given and to be effective (i) when delivered personally (including hand delivery, delivery by express or courier services, or by confirmed facsimile transmission), or (ii) if mailed, on the fourth (4</w:t>
      </w:r>
      <w:r>
        <w:rPr>
          <w:rFonts w:cs="Arial" w:ascii="Arial" w:hAnsi="Arial"/>
          <w:sz w:val="22"/>
          <w:vertAlign w:val="superscript"/>
        </w:rPr>
        <w:t>th</w:t>
      </w:r>
      <w:r>
        <w:rPr>
          <w:rFonts w:cs="Arial" w:ascii="Arial" w:hAnsi="Arial"/>
          <w:sz w:val="22"/>
        </w:rPr>
        <w:t>) business day after being deposited in the United States first class mail as registered or certified mail, postage prepaid, return receipt requested, provided that such communications, notices and exchanges are addressed to the other party as follows:</w:t>
      </w:r>
    </w:p>
    <w:p>
      <w:pPr>
        <w:pStyle w:val="BodyTextIndent"/>
        <w:rPr>
          <w:rFonts w:ascii="Arial" w:hAnsi="Arial" w:cs="Arial"/>
          <w:sz w:val="22"/>
        </w:rPr>
      </w:pPr>
      <w:r>
        <w:rPr>
          <w:rFonts w:cs="Arial" w:ascii="Arial" w:hAnsi="Arial"/>
          <w:sz w:val="22"/>
        </w:rPr>
        <w:t>To Seller:</w:t>
        <w:tab/>
        <w:t>NewCo, LLC</w:t>
        <w:br/>
        <w:t>Attention: Office of General Counsel</w:t>
        <w:br/>
        <w:t>1400 Smith Street</w:t>
        <w:br/>
        <w:t>Houston, Texas 77002</w:t>
      </w:r>
    </w:p>
    <w:p>
      <w:pPr>
        <w:pStyle w:val="BodyTextIndent"/>
        <w:tabs>
          <w:tab w:val="clear" w:pos="720"/>
        </w:tabs>
        <w:ind w:firstLine="1440" w:start="0" w:end="0"/>
        <w:rPr>
          <w:rFonts w:ascii="Arial" w:hAnsi="Arial" w:cs="Arial"/>
          <w:sz w:val="22"/>
        </w:rPr>
      </w:pPr>
      <w:r>
        <w:rPr>
          <w:rFonts w:cs="Arial" w:ascii="Arial" w:hAnsi="Arial"/>
          <w:sz w:val="22"/>
        </w:rPr>
        <w:t>Copy To:</w:t>
        <w:tab/>
        <w:t>Georgia-Pacific Corporation</w:t>
        <w:tab/>
        <w:tab/>
        <w:tab/>
        <w:tab/>
        <w:tab/>
        <w:tab/>
        <w:tab/>
        <w:tab/>
        <w:tab/>
        <w:t>Attention: General Counsel</w:t>
        <w:tab/>
        <w:tab/>
        <w:tab/>
        <w:tab/>
        <w:tab/>
        <w:tab/>
        <w:tab/>
        <w:tab/>
        <w:tab/>
        <w:t>133 Peachtree Street NE</w:t>
        <w:tab/>
        <w:tab/>
        <w:tab/>
        <w:tab/>
        <w:tab/>
        <w:tab/>
        <w:tab/>
        <w:tab/>
        <w:tab/>
        <w:t>Atlanta, Georgia 30303</w:t>
      </w:r>
    </w:p>
    <w:p>
      <w:pPr>
        <w:pStyle w:val="BodyTextIndent"/>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t>To Buyer:</w:t>
        <w:tab/>
        <w:t>Enron, LLC</w:t>
        <w:br/>
        <w:t>Attention: Office of General Counsel</w:t>
        <w:br/>
        <w:t>1400 Smith Street</w:t>
        <w:br/>
        <w:t>Houston, Texas 77002</w:t>
        <w:br/>
      </w:r>
    </w:p>
    <w:p>
      <w:pPr>
        <w:pStyle w:val="Normal"/>
        <w:numPr>
          <w:ilvl w:val="0"/>
          <w:numId w:val="2"/>
        </w:numPr>
        <w:tabs>
          <w:tab w:val="clear" w:pos="720"/>
        </w:tabs>
        <w:spacing w:before="0" w:after="240"/>
        <w:ind w:firstLine="720" w:start="0" w:end="0"/>
        <w:rPr>
          <w:rFonts w:ascii="Arial" w:hAnsi="Arial" w:cs="Arial"/>
          <w:sz w:val="22"/>
        </w:rPr>
      </w:pPr>
      <w:r>
        <w:rPr>
          <w:rFonts w:cs="Arial" w:ascii="Arial" w:hAnsi="Arial"/>
          <w:sz w:val="22"/>
          <w:u w:val="single"/>
        </w:rPr>
        <w:t>ASSIGNMENT</w:t>
      </w:r>
      <w:r>
        <w:rPr>
          <w:rFonts w:cs="Arial" w:ascii="Arial" w:hAnsi="Arial"/>
          <w:sz w:val="22"/>
        </w:rPr>
        <w:t>. Neither this Agreement nor any of the rights, interests or obligations hereunder shall be assigned by Buyer or Seller (whether by operation of law or otherwise) without the prior written consent of the other, and any or purported assignment or transfer without such prior written consent shall be void and shall confer no rights on the assignee or transferee.  Subject to the preceding sentence, this Agreement will be binding on, inure to the benefit of, and be enforceable by Buyer and Seller and their respective successors and assigns.</w:t>
      </w:r>
    </w:p>
    <w:p>
      <w:pPr>
        <w:pStyle w:val="Normal"/>
        <w:numPr>
          <w:ilvl w:val="0"/>
          <w:numId w:val="2"/>
        </w:numPr>
        <w:tabs>
          <w:tab w:val="clear" w:pos="720"/>
        </w:tabs>
        <w:spacing w:before="0" w:after="240"/>
        <w:ind w:firstLine="720" w:start="0" w:end="0"/>
        <w:rPr>
          <w:rFonts w:ascii="Arial" w:hAnsi="Arial" w:cs="Arial"/>
          <w:sz w:val="22"/>
        </w:rPr>
      </w:pPr>
      <w:r>
        <w:rPr>
          <w:rFonts w:cs="Arial" w:ascii="Arial" w:hAnsi="Arial"/>
          <w:sz w:val="22"/>
          <w:u w:val="single"/>
        </w:rPr>
        <w:t>TAXES</w:t>
      </w:r>
      <w:r>
        <w:rPr>
          <w:rFonts w:cs="Arial" w:ascii="Arial" w:hAnsi="Arial"/>
          <w:sz w:val="22"/>
        </w:rPr>
        <w:t>.  In addition to the Prices for the Products, Buyer shall pay to Seller an amount equal to all taxes and other charges imposed by any government agency or authority, whether by present or future enactment, upon the manufacture, sale, shipment, delivery or use of the Products sold hereunder, which tax or charge Seller is or shall be required or permitted to pay or collect.</w:t>
      </w:r>
    </w:p>
    <w:p>
      <w:pPr>
        <w:pStyle w:val="Normal"/>
        <w:numPr>
          <w:ilvl w:val="0"/>
          <w:numId w:val="2"/>
        </w:numPr>
        <w:tabs>
          <w:tab w:val="clear" w:pos="720"/>
        </w:tabs>
        <w:spacing w:before="0" w:after="240"/>
        <w:ind w:firstLine="720" w:start="0" w:end="0"/>
        <w:rPr>
          <w:rFonts w:ascii="Arial" w:hAnsi="Arial" w:cs="Arial"/>
          <w:sz w:val="22"/>
        </w:rPr>
      </w:pPr>
      <w:r>
        <w:rPr>
          <w:rFonts w:cs="Arial" w:ascii="Arial" w:hAnsi="Arial"/>
          <w:sz w:val="22"/>
          <w:u w:val="single"/>
        </w:rPr>
        <w:t>SEVERABILITY</w:t>
      </w:r>
      <w:r>
        <w:rPr>
          <w:rFonts w:cs="Arial" w:ascii="Arial" w:hAnsi="Arial"/>
          <w:sz w:val="22"/>
        </w:rPr>
        <w:t xml:space="preserve">.  Any term or provision of this Agreement which is invalid or unenforceable in any jurisdiction shall, as to that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the provision shall be interpreted to be only so broad as is enforceable.  </w:t>
      </w:r>
    </w:p>
    <w:p>
      <w:pPr>
        <w:pStyle w:val="Normal"/>
        <w:numPr>
          <w:ilvl w:val="0"/>
          <w:numId w:val="2"/>
        </w:numPr>
        <w:tabs>
          <w:tab w:val="clear" w:pos="720"/>
        </w:tabs>
        <w:spacing w:before="0" w:after="240"/>
        <w:ind w:firstLine="720" w:start="0" w:end="0"/>
        <w:rPr>
          <w:rFonts w:ascii="Arial" w:hAnsi="Arial" w:cs="Arial"/>
          <w:sz w:val="22"/>
        </w:rPr>
      </w:pPr>
      <w:r>
        <w:rPr>
          <w:rFonts w:eastAsia="Arial" w:cs="Arial" w:ascii="Arial" w:hAnsi="Arial"/>
          <w:sz w:val="22"/>
          <w:u w:val="single"/>
        </w:rPr>
        <w:t xml:space="preserve"> </w:t>
      </w:r>
      <w:r>
        <w:rPr>
          <w:rFonts w:cs="Arial" w:ascii="Arial" w:hAnsi="Arial"/>
          <w:sz w:val="22"/>
          <w:u w:val="single"/>
        </w:rPr>
        <w:t>COUNTERPARTS; DELIVERY BY FACSIMILE</w:t>
      </w:r>
      <w:r>
        <w:rPr>
          <w:rFonts w:cs="Arial" w:ascii="Arial" w:hAnsi="Arial"/>
          <w:sz w:val="22"/>
        </w:rPr>
        <w:t xml:space="preserve">.  This Agreement may be executed by Buyer or Seller by signing a separate counterpart thereof, and all of such executed counterparts shall be treated as fully binding and effective, and for all purposes as an executed original hereof.  This Agreement and any communications, notices and exchanges of information pursuant to this Agreement, including signatures, may be delivered by facsimile and shall be treated in all manner and respects as an original document.  </w:t>
      </w:r>
    </w:p>
    <w:p>
      <w:pPr>
        <w:pStyle w:val="Normal"/>
        <w:numPr>
          <w:ilvl w:val="0"/>
          <w:numId w:val="2"/>
        </w:numPr>
        <w:tabs>
          <w:tab w:val="clear" w:pos="720"/>
        </w:tabs>
        <w:spacing w:before="0" w:after="240"/>
        <w:ind w:firstLine="720" w:start="0" w:end="0"/>
        <w:rPr>
          <w:rFonts w:ascii="Arial" w:hAnsi="Arial" w:cs="Arial"/>
          <w:sz w:val="22"/>
        </w:rPr>
      </w:pPr>
      <w:r>
        <w:rPr>
          <w:rFonts w:cs="Arial" w:ascii="Arial" w:hAnsi="Arial"/>
          <w:sz w:val="22"/>
          <w:u w:val="single"/>
        </w:rPr>
        <w:t>ATTORNEYS’ FEES</w:t>
      </w:r>
      <w:r>
        <w:rPr>
          <w:rFonts w:cs="Arial" w:ascii="Arial" w:hAnsi="Arial"/>
          <w:sz w:val="22"/>
        </w:rPr>
        <w:t>.  In the event attorneys fees or other expenses are incurred to secure performance of any of the obligations herein provided for, or to establish damages for the breach thereof, or to obtain any other appropriate relief, whether by way of prosecution or defense, each party shall cover the entire cost of its respective attorneys’ fees and expenses incurred therein.</w:t>
      </w:r>
    </w:p>
    <w:p>
      <w:pPr>
        <w:pStyle w:val="Normal"/>
        <w:numPr>
          <w:ilvl w:val="0"/>
          <w:numId w:val="2"/>
        </w:numPr>
        <w:tabs>
          <w:tab w:val="clear" w:pos="720"/>
        </w:tabs>
        <w:spacing w:before="0" w:after="240"/>
        <w:ind w:firstLine="720" w:start="0" w:end="0"/>
        <w:rPr>
          <w:rFonts w:ascii="Arial" w:hAnsi="Arial" w:cs="Arial"/>
          <w:sz w:val="22"/>
        </w:rPr>
      </w:pPr>
      <w:r>
        <w:rPr>
          <w:rFonts w:cs="Arial" w:ascii="Arial" w:hAnsi="Arial"/>
          <w:sz w:val="22"/>
          <w:u w:val="single"/>
        </w:rPr>
        <w:t>ENTIRE AGREEMENT</w:t>
      </w:r>
      <w:r>
        <w:rPr>
          <w:rFonts w:cs="Arial" w:ascii="Arial" w:hAnsi="Arial"/>
          <w:sz w:val="22"/>
        </w:rPr>
        <w:t>.  This Agreement constitutes the entire understanding between the parties relating to the purchase and sale of the quantity of Products to be purchased and sold; and no statements, representations, writings, understandings, or agreements by either party, or any representative of either party, either in the negotiations leading to this Agreement, during the term hereof, or at any other time, which are not expressed herein, shall be binding.  No statement, whether made orally or in writing by either party, or a representative of either party, relating to any separate order or sale hereunder, or any conduct of the parties in respect of a particular order or sale hereunder or any so-called “trade custom” or practice regarding the delivery or deliveries to be made under a particular order, shall have any effect to change, modify, or amend this Agreement in any respect.  All changes in, additions to, or modifications or amendments of this Agreement or any of the terms, provisions, and conditions hereof shall be binding only when in writing and signed by the authorized officer, agent, or representative of each of the parties hereto.</w:t>
      </w:r>
      <w:r>
        <w:br w:type="page"/>
      </w:r>
    </w:p>
    <w:p>
      <w:pPr>
        <w:pStyle w:val="Normal"/>
        <w:tabs>
          <w:tab w:val="left" w:pos="720" w:leader="none"/>
        </w:tabs>
        <w:spacing w:before="0" w:after="240"/>
        <w:rPr>
          <w:rFonts w:ascii="Arial" w:hAnsi="Arial" w:cs="Arial"/>
          <w:sz w:val="22"/>
        </w:rPr>
      </w:pPr>
      <w:r>
        <w:rPr>
          <w:rFonts w:cs="Arial" w:ascii="Arial" w:hAnsi="Arial"/>
          <w:sz w:val="22"/>
        </w:rPr>
        <w:tab/>
        <w:t>IN WITNESS WHEREOF, the parties have executed this Agreement as of the day and year first above written.</w:t>
      </w:r>
    </w:p>
    <w:tbl>
      <w:tblPr>
        <w:tblW w:w="8856" w:type="dxa"/>
        <w:jc w:val="start"/>
        <w:tblInd w:w="0" w:type="dxa"/>
        <w:tblLayout w:type="fixed"/>
        <w:tblCellMar>
          <w:top w:w="0" w:type="dxa"/>
          <w:start w:w="108" w:type="dxa"/>
          <w:bottom w:w="0" w:type="dxa"/>
          <w:end w:w="108" w:type="dxa"/>
        </w:tblCellMar>
      </w:tblPr>
      <w:tblGrid>
        <w:gridCol w:w="4878"/>
        <w:gridCol w:w="3978"/>
      </w:tblGrid>
      <w:tr>
        <w:trPr/>
        <w:tc>
          <w:tcPr>
            <w:tcW w:w="4878" w:type="dxa"/>
            <w:tcBorders/>
          </w:tcPr>
          <w:p>
            <w:pPr>
              <w:pStyle w:val="Normal"/>
              <w:tabs>
                <w:tab w:val="left" w:pos="720" w:leader="none"/>
              </w:tabs>
              <w:spacing w:before="0" w:after="240"/>
              <w:rPr>
                <w:rFonts w:ascii="Arial" w:hAnsi="Arial" w:cs="Arial"/>
                <w:sz w:val="22"/>
              </w:rPr>
            </w:pPr>
            <w:r>
              <w:rPr>
                <w:rFonts w:cs="Arial" w:ascii="Arial" w:hAnsi="Arial"/>
                <w:sz w:val="22"/>
              </w:rPr>
              <w:t>NEWCO, LLC (Seller)</w:t>
            </w:r>
          </w:p>
          <w:p>
            <w:pPr>
              <w:pStyle w:val="Normal"/>
              <w:tabs>
                <w:tab w:val="left" w:pos="720" w:leader="none"/>
              </w:tabs>
              <w:spacing w:before="0" w:after="240"/>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r>
          </w:p>
          <w:p>
            <w:pPr>
              <w:pStyle w:val="Normal"/>
              <w:tabs>
                <w:tab w:val="left" w:pos="720" w:leader="none"/>
              </w:tabs>
              <w:rPr>
                <w:rFonts w:ascii="Arial" w:hAnsi="Arial" w:cs="Arial"/>
                <w:sz w:val="22"/>
              </w:rPr>
            </w:pPr>
            <w:r>
              <w:rPr>
                <w:rFonts w:cs="Arial" w:ascii="Arial" w:hAnsi="Arial"/>
                <w:sz w:val="22"/>
              </w:rPr>
              <w:t>By:__________________________________</w:t>
            </w:r>
          </w:p>
          <w:p>
            <w:pPr>
              <w:pStyle w:val="Normal"/>
              <w:tabs>
                <w:tab w:val="left" w:pos="720" w:leader="none"/>
              </w:tabs>
              <w:rPr>
                <w:rFonts w:ascii="Arial" w:hAnsi="Arial" w:cs="Arial"/>
                <w:sz w:val="22"/>
              </w:rPr>
            </w:pPr>
            <w:r>
              <w:rPr>
                <w:rFonts w:cs="Arial" w:ascii="Arial" w:hAnsi="Arial"/>
                <w:sz w:val="22"/>
              </w:rPr>
              <w:t>Title: ________________________________</w:t>
            </w:r>
          </w:p>
          <w:p>
            <w:pPr>
              <w:pStyle w:val="Normal"/>
              <w:tabs>
                <w:tab w:val="left" w:pos="720" w:leader="none"/>
              </w:tabs>
              <w:rPr>
                <w:rFonts w:ascii="Arial" w:hAnsi="Arial" w:cs="Arial"/>
                <w:sz w:val="22"/>
              </w:rPr>
            </w:pPr>
            <w:r>
              <w:rPr>
                <w:rFonts w:cs="Arial" w:ascii="Arial" w:hAnsi="Arial"/>
                <w:sz w:val="22"/>
              </w:rPr>
            </w:r>
          </w:p>
        </w:tc>
        <w:tc>
          <w:tcPr>
            <w:tcW w:w="3978" w:type="dxa"/>
            <w:tcBorders/>
          </w:tcPr>
          <w:p>
            <w:pPr>
              <w:pStyle w:val="Normal"/>
              <w:tabs>
                <w:tab w:val="left" w:pos="720" w:leader="none"/>
              </w:tabs>
              <w:ind w:start="-18" w:end="0"/>
              <w:rPr>
                <w:rFonts w:ascii="Arial" w:hAnsi="Arial" w:cs="Arial"/>
                <w:sz w:val="22"/>
              </w:rPr>
            </w:pPr>
            <w:r>
              <w:rPr>
                <w:rFonts w:cs="Arial" w:ascii="Arial" w:hAnsi="Arial"/>
                <w:sz w:val="22"/>
              </w:rPr>
              <w:t>ENRON INDUSTRIAL MARKETS, L.L.C. (Buyer)</w:t>
            </w:r>
          </w:p>
          <w:p>
            <w:pPr>
              <w:pStyle w:val="Normal"/>
              <w:tabs>
                <w:tab w:val="left" w:pos="720" w:leader="none"/>
              </w:tabs>
              <w:ind w:start="-18" w:end="0"/>
              <w:rPr>
                <w:rFonts w:ascii="Arial" w:hAnsi="Arial" w:cs="Arial"/>
                <w:sz w:val="22"/>
              </w:rPr>
            </w:pPr>
            <w:r>
              <w:rPr>
                <w:rFonts w:cs="Arial" w:ascii="Arial" w:hAnsi="Arial"/>
                <w:sz w:val="22"/>
              </w:rPr>
            </w:r>
          </w:p>
          <w:p>
            <w:pPr>
              <w:pStyle w:val="Normal"/>
              <w:tabs>
                <w:tab w:val="left" w:pos="720" w:leader="none"/>
              </w:tabs>
              <w:ind w:start="-18" w:end="0"/>
              <w:rPr>
                <w:rFonts w:ascii="Arial" w:hAnsi="Arial" w:cs="Arial"/>
                <w:sz w:val="22"/>
              </w:rPr>
            </w:pPr>
            <w:r>
              <w:rPr>
                <w:rFonts w:cs="Arial" w:ascii="Arial" w:hAnsi="Arial"/>
                <w:sz w:val="22"/>
              </w:rPr>
            </w:r>
          </w:p>
          <w:p>
            <w:pPr>
              <w:pStyle w:val="Normal"/>
              <w:tabs>
                <w:tab w:val="left" w:pos="720" w:leader="none"/>
              </w:tabs>
              <w:ind w:start="-18" w:end="0"/>
              <w:rPr>
                <w:rFonts w:ascii="Arial" w:hAnsi="Arial" w:cs="Arial"/>
                <w:sz w:val="22"/>
              </w:rPr>
            </w:pPr>
            <w:r>
              <w:rPr>
                <w:rFonts w:cs="Arial" w:ascii="Arial" w:hAnsi="Arial"/>
                <w:sz w:val="22"/>
              </w:rPr>
            </w:r>
          </w:p>
          <w:p>
            <w:pPr>
              <w:pStyle w:val="Normal"/>
              <w:tabs>
                <w:tab w:val="left" w:pos="720" w:leader="none"/>
              </w:tabs>
              <w:ind w:start="-18" w:end="0"/>
              <w:rPr>
                <w:rFonts w:ascii="Arial" w:hAnsi="Arial" w:cs="Arial"/>
                <w:sz w:val="22"/>
              </w:rPr>
            </w:pPr>
            <w:r>
              <w:rPr>
                <w:rFonts w:cs="Arial" w:ascii="Arial" w:hAnsi="Arial"/>
                <w:sz w:val="22"/>
              </w:rPr>
              <w:t>By:____________________________</w:t>
            </w:r>
          </w:p>
          <w:p>
            <w:pPr>
              <w:pStyle w:val="Normal"/>
              <w:tabs>
                <w:tab w:val="left" w:pos="720" w:leader="none"/>
              </w:tabs>
              <w:ind w:start="-18" w:end="0"/>
              <w:rPr>
                <w:rFonts w:ascii="Arial" w:hAnsi="Arial" w:cs="Arial"/>
                <w:sz w:val="22"/>
              </w:rPr>
            </w:pPr>
            <w:r>
              <w:rPr>
                <w:rFonts w:cs="Arial" w:ascii="Arial" w:hAnsi="Arial"/>
                <w:sz w:val="22"/>
              </w:rPr>
              <w:t>Title:__________________________</w:t>
            </w:r>
          </w:p>
        </w:tc>
      </w:tr>
    </w:tbl>
    <w:p>
      <w:pPr>
        <w:pStyle w:val="Normal"/>
        <w:tabs>
          <w:tab w:val="left" w:pos="720" w:leader="none"/>
        </w:tabs>
        <w:spacing w:before="0" w:after="240"/>
        <w:rPr>
          <w:rFonts w:ascii="Arial" w:hAnsi="Arial" w:cs="Arial"/>
          <w:sz w:val="22"/>
        </w:rPr>
      </w:pPr>
      <w:r>
        <w:rPr>
          <w:rFonts w:cs="Arial" w:ascii="Arial" w:hAnsi="Arial"/>
          <w:sz w:val="22"/>
        </w:rPr>
      </w:r>
      <w:r>
        <w:br w:type="page"/>
      </w:r>
    </w:p>
    <w:p>
      <w:pPr>
        <w:pStyle w:val="Normal"/>
        <w:tabs>
          <w:tab w:val="left" w:pos="720" w:leader="none"/>
        </w:tabs>
        <w:spacing w:before="0" w:after="240"/>
        <w:jc w:val="center"/>
        <w:rPr>
          <w:rFonts w:ascii="Arial" w:hAnsi="Arial" w:cs="Arial"/>
          <w:b/>
          <w:sz w:val="22"/>
        </w:rPr>
      </w:pPr>
      <w:r>
        <w:rPr>
          <w:rFonts w:cs="Arial" w:ascii="Arial" w:hAnsi="Arial"/>
          <w:b/>
          <w:sz w:val="22"/>
        </w:rPr>
        <w:t>Exhibit A</w:t>
      </w:r>
    </w:p>
    <w:p>
      <w:pPr>
        <w:pStyle w:val="Heading2"/>
        <w:ind w:hanging="0" w:start="0"/>
        <w:rPr>
          <w:rFonts w:ascii="Arial" w:hAnsi="Arial" w:cs="Arial"/>
          <w:b/>
          <w:sz w:val="22"/>
        </w:rPr>
      </w:pPr>
      <w:r>
        <w:rPr>
          <w:rFonts w:cs="Arial" w:ascii="Arial" w:hAnsi="Arial"/>
          <w:b/>
          <w:sz w:val="22"/>
          <w:rPrChange w:id="0" w:author="Unknown" w:date="0-00-00T00:00:00Z"/>
        </w:rPr>
        <w:t>Pulp Specification</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ab/>
        <w:tab/>
        <w:tab/>
        <w:t>Brightness:</w:t>
        <w:tab/>
        <w:tab/>
        <w:t>Minimum of 90% ISO</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ab/>
        <w:tab/>
        <w:tab/>
        <w:t>Dirt:</w:t>
        <w:tab/>
        <w:tab/>
        <w:tab/>
        <w:t>Maximum of 2.0 ppm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Viscosity:</w:t>
        <w:tab/>
        <w:tab/>
        <w:t>16 – 28 cp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pH:</w:t>
        <w:tab/>
        <w:tab/>
        <w:tab/>
        <w:t>Minimum of 5.0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Fiber Content:</w:t>
        <w:tab/>
        <w:tab/>
        <w:t>Maximum of 7% hardwood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Air Dry %)</w:t>
        <w:tab/>
        <w:tab/>
        <w:t>90.0 – 98.0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Dioxin:</w:t>
        <w:tab/>
        <w:tab/>
        <w:tab/>
        <w:t>Maximum of 2 ppt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326466v3</w:t>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326466v3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lowerLetter"/>
      <w:lvlText w:val="(%1)"/>
      <w:lvlJc w:val="start"/>
      <w:pPr>
        <w:tabs>
          <w:tab w:val="num" w:pos="1800"/>
        </w:tabs>
        <w:ind w:start="1800" w:hanging="360"/>
      </w:pPr>
      <w:rPr>
        <w:sz w:val="22"/>
        <w:rFonts w:ascii="Arial" w:hAnsi="Arial" w:cs="Arial"/>
      </w:rPr>
    </w:lvl>
  </w:abstractNum>
  <w:abstractNum w:abstractNumId="5">
    <w:lvl w:ilvl="0">
      <w:start w:val="1"/>
      <w:numFmt w:val="lowerLetter"/>
      <w:lvlText w:val="(%1)"/>
      <w:lvlJc w:val="start"/>
      <w:pPr>
        <w:tabs>
          <w:tab w:val="num" w:pos="2160"/>
        </w:tabs>
        <w:ind w:start="2160" w:hanging="720"/>
      </w:pPr>
      <w:rPr>
        <w:sz w:val="24"/>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jc w:val="center"/>
      <w:outlineLvl w:val="0"/>
    </w:pPr>
    <w:rPr/>
  </w:style>
  <w:style w:type="paragraph" w:styleId="Heading2">
    <w:name w:val="heading 2"/>
    <w:basedOn w:val="Normal"/>
    <w:next w:val="Normal"/>
    <w:qFormat/>
    <w:pPr>
      <w:keepNext w:val="true"/>
      <w:numPr>
        <w:ilvl w:val="1"/>
        <w:numId w:val="1"/>
      </w:numPr>
      <w:tabs>
        <w:tab w:val="left" w:pos="720" w:leader="none"/>
      </w:tabs>
      <w:spacing w:before="0" w:after="240"/>
      <w:jc w:val="center"/>
      <w:outlineLvl w:val="1"/>
    </w:pPr>
    <w:rPr>
      <w:u w:val="single"/>
    </w:rPr>
  </w:style>
  <w:style w:type="character" w:styleId="WW8Num1z0">
    <w:name w:val="WW8Num1z0"/>
    <w:qFormat/>
    <w:rPr/>
  </w:style>
  <w:style w:type="character" w:styleId="WW8Num2z0">
    <w:name w:val="WW8Num2z0"/>
    <w:qFormat/>
    <w:rPr/>
  </w:style>
  <w:style w:type="character" w:styleId="WW8Num6z0">
    <w:name w:val="WW8Num6z0"/>
    <w:qFormat/>
    <w:rPr>
      <w:rFonts w:ascii="Arial" w:hAnsi="Arial" w:cs="Arial"/>
      <w:sz w:val="22"/>
    </w:rPr>
  </w:style>
  <w:style w:type="character" w:styleId="WW8Num7z0">
    <w:name w:val="WW8Num7z0"/>
    <w:qFormat/>
    <w:rPr/>
  </w:style>
  <w:style w:type="character" w:styleId="WW8Num8z0">
    <w:name w:val="WW8Num8z0"/>
    <w:qFormat/>
    <w:rPr>
      <w:rFonts w:ascii="Times New Roman" w:hAnsi="Times New Roman" w:cs="Times New Roman"/>
      <w:sz w:val="24"/>
    </w:rPr>
  </w:style>
  <w:style w:type="character" w:styleId="WW8Num9z0">
    <w:name w:val="WW8Num9z0"/>
    <w:qFormat/>
    <w:rPr>
      <w:rFonts w:ascii="Times New Roman" w:hAnsi="Times New Roman" w:cs="Times New Roman"/>
      <w:b/>
      <w:i w:val="false"/>
      <w:caps/>
      <w:strike w:val="false"/>
      <w:dstrike w:val="false"/>
      <w:outline w:val="false"/>
      <w:shadow w:val="false"/>
      <w:vanish w:val="false"/>
      <w:color w:val="auto"/>
      <w:position w:val="0"/>
      <w:sz w:val="24"/>
      <w:sz w:val="24"/>
      <w:u w:val="single"/>
      <w:vertAlign w:val="baseline"/>
    </w:rPr>
  </w:style>
  <w:style w:type="character" w:styleId="WW8Num9z1">
    <w:name w:val="WW8Num9z1"/>
    <w:qFormat/>
    <w:rPr>
      <w:rFonts w:ascii="Times New Roman" w:hAnsi="Times New Roman" w:cs="Times New Roman"/>
      <w:b w:val="false"/>
      <w:i w:val="false"/>
      <w:color w:val="auto"/>
      <w:sz w:val="24"/>
      <w:u w:val="none"/>
    </w:rPr>
  </w:style>
  <w:style w:type="character" w:styleId="WW8Num9z2">
    <w:name w:val="WW8Num9z2"/>
    <w:qFormat/>
    <w:rPr>
      <w:color w:val="auto"/>
    </w:rPr>
  </w:style>
  <w:style w:type="character" w:styleId="WW8Num9z5">
    <w:name w:val="WW8Num9z5"/>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spacing w:before="0" w:after="240"/>
      <w:ind w:hanging="1350" w:start="2790" w:end="0"/>
    </w:pPr>
    <w:rPr/>
  </w:style>
  <w:style w:type="paragraph" w:styleId="BodyTextIndent2">
    <w:name w:val="Body Text Indent 2"/>
    <w:basedOn w:val="Normal"/>
    <w:qFormat/>
    <w:pPr>
      <w:spacing w:before="0" w:after="240"/>
      <w:ind w:firstLine="360" w:start="0" w:end="0"/>
    </w:pPr>
    <w:rPr/>
  </w:style>
  <w:style w:type="paragraph" w:styleId="BodyTextIndent3">
    <w:name w:val="Body Text Indent 3"/>
    <w:basedOn w:val="Normal"/>
    <w:qFormat/>
    <w:pPr>
      <w:spacing w:before="0" w:after="240"/>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2001-09-14T17:02:00Z</dcterms:created>
  <dc:creator>MFMCCART</dc:creator>
  <dc:description/>
  <dc:language>en-CA</dc:language>
  <cp:lastModifiedBy>Tony Rothermel</cp:lastModifiedBy>
  <cp:lastPrinted>2001-09-14T15:34:00Z</cp:lastPrinted>
  <dcterms:modified xsi:type="dcterms:W3CDTF">2001-09-14T17:17:00Z</dcterms:modified>
  <cp:revision>5</cp:revision>
  <dc:subject/>
  <dc:title>SALES AGREEMENT MASTER FORM</dc:title>
</cp:coreProperties>
</file>