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p>
    <w:p>
      <w:pPr>
        <w:pStyle w:val="Heading"/>
        <w:rPr/>
      </w:pPr>
      <w:r>
        <w:rPr/>
        <w:t>PUERTO RICO WEEKLY UPDATE</w:t>
      </w:r>
    </w:p>
    <w:p>
      <w:pPr>
        <w:pStyle w:val="Normal"/>
        <w:jc w:val="center"/>
        <w:rPr>
          <w:b/>
          <w:sz w:val="24"/>
        </w:rPr>
      </w:pPr>
      <w:r>
        <w:rPr>
          <w:b/>
          <w:sz w:val="24"/>
        </w:rPr>
        <w:t xml:space="preserve">June 7, 2001              </w:t>
      </w:r>
    </w:p>
    <w:p>
      <w:pPr>
        <w:pStyle w:val="Normal"/>
        <w:jc w:val="center"/>
        <w:rPr>
          <w:b/>
          <w:sz w:val="24"/>
        </w:rPr>
      </w:pPr>
      <w:r>
        <w:rPr>
          <w:b/>
          <w:sz w:val="24"/>
        </w:rPr>
      </w:r>
    </w:p>
    <w:p>
      <w:pPr>
        <w:pStyle w:val="Normal"/>
        <w:jc w:val="center"/>
        <w:rPr>
          <w:b/>
          <w:sz w:val="24"/>
        </w:rPr>
      </w:pPr>
      <w:r>
        <w:rPr>
          <w:b/>
          <w:sz w:val="24"/>
        </w:rPr>
      </w:r>
    </w:p>
    <w:p>
      <w:pPr>
        <w:pStyle w:val="Normal"/>
        <w:pBdr>
          <w:top w:val="double" w:sz="4" w:space="1" w:color="000000"/>
          <w:bottom w:val="double" w:sz="4" w:space="1" w:color="000000"/>
        </w:pBdr>
        <w:jc w:val="center"/>
        <w:rPr>
          <w:b/>
          <w:sz w:val="24"/>
        </w:rPr>
      </w:pPr>
      <w:r>
        <w:rPr>
          <w:b/>
          <w:sz w:val="24"/>
        </w:rPr>
        <w:t xml:space="preserve">PROCARIBE                </w:t>
      </w:r>
    </w:p>
    <w:p>
      <w:pPr>
        <w:pStyle w:val="Normal"/>
        <w:pBdr>
          <w:top w:val="double" w:sz="4" w:space="1" w:color="000000"/>
          <w:bottom w:val="double" w:sz="4" w:space="1" w:color="000000"/>
        </w:pBdr>
        <w:jc w:val="center"/>
        <w:rPr>
          <w:sz w:val="24"/>
        </w:rPr>
      </w:pPr>
      <w:r>
        <w:rPr>
          <w:sz w:val="24"/>
        </w:rPr>
        <w:t>23,000 MT Refrigerated LPG Terminal in Peñuelas</w:t>
      </w:r>
    </w:p>
    <w:p>
      <w:pPr>
        <w:pStyle w:val="Normal"/>
        <w:jc w:val="center"/>
        <w:rPr>
          <w:sz w:val="24"/>
        </w:rPr>
      </w:pPr>
      <w:r>
        <w:rPr>
          <w:sz w:val="24"/>
        </w:rPr>
      </w:r>
    </w:p>
    <w:p>
      <w:pPr>
        <w:pStyle w:val="Heading1"/>
        <w:ind w:hanging="0" w:start="0"/>
        <w:jc w:val="both"/>
        <w:rPr/>
      </w:pPr>
      <w:r>
        <w:rPr>
          <w:sz w:val="22"/>
        </w:rPr>
        <w:t xml:space="preserve">Inventory Level </w:t>
      </w:r>
      <w:r>
        <w:rPr>
          <w:b w:val="false"/>
          <w:sz w:val="22"/>
        </w:rPr>
        <w:t>EcoEléctrica – 4,849,516 gals.</w:t>
      </w:r>
    </w:p>
    <w:p>
      <w:pPr>
        <w:pStyle w:val="Normal"/>
        <w:jc w:val="both"/>
        <w:rPr/>
      </w:pPr>
      <w:r>
        <w:rPr>
          <w:b/>
          <w:sz w:val="22"/>
        </w:rPr>
        <w:tab/>
        <w:tab/>
        <w:t xml:space="preserve">  </w:t>
      </w:r>
      <w:r>
        <w:rPr>
          <w:sz w:val="22"/>
        </w:rPr>
        <w:t>ProCaribe – 3,179,866 gals.</w:t>
      </w:r>
    </w:p>
    <w:p>
      <w:pPr>
        <w:pStyle w:val="Normal"/>
        <w:jc w:val="both"/>
        <w:rPr>
          <w:sz w:val="22"/>
        </w:rPr>
      </w:pPr>
      <w:r>
        <w:rPr>
          <w:sz w:val="22"/>
        </w:rPr>
        <w:t xml:space="preserve">                            </w:t>
      </w:r>
      <w:r>
        <w:rPr>
          <w:sz w:val="22"/>
        </w:rPr>
        <w:t>Total Gallons –  8,029,382 gals.</w:t>
      </w:r>
    </w:p>
    <w:p>
      <w:pPr>
        <w:pStyle w:val="Normal"/>
        <w:ind w:start="720" w:end="0"/>
        <w:jc w:val="both"/>
        <w:rPr/>
      </w:pPr>
      <w:r>
        <w:rPr>
          <w:b/>
          <w:sz w:val="22"/>
        </w:rPr>
        <w:t>Sales Volume</w:t>
        <w:tab/>
      </w:r>
      <w:r>
        <w:rPr>
          <w:sz w:val="22"/>
        </w:rPr>
        <w:t>(gallons and % of budget)</w:t>
      </w:r>
    </w:p>
    <w:p>
      <w:pPr>
        <w:pStyle w:val="Normal"/>
        <w:jc w:val="both"/>
        <w:rPr/>
      </w:pPr>
      <w:r>
        <w:rPr>
          <w:b/>
          <w:sz w:val="22"/>
        </w:rPr>
        <w:tab/>
        <w:tab/>
        <w:t xml:space="preserve">               </w:t>
      </w:r>
      <w:r>
        <w:rPr>
          <w:sz w:val="22"/>
        </w:rPr>
        <w:t xml:space="preserve"> 293 M gals.,     64 %</w:t>
      </w:r>
    </w:p>
    <w:p>
      <w:pPr>
        <w:pStyle w:val="Normal"/>
        <w:jc w:val="both"/>
        <w:rPr/>
      </w:pPr>
      <w:r>
        <w:rPr>
          <w:b/>
          <w:sz w:val="22"/>
        </w:rPr>
        <w:t xml:space="preserve">Sales Revenue </w:t>
      </w:r>
      <w:r>
        <w:rPr>
          <w:sz w:val="22"/>
        </w:rPr>
        <w:t>($ and % of budget)</w:t>
      </w:r>
    </w:p>
    <w:p>
      <w:pPr>
        <w:pStyle w:val="Heading7"/>
        <w:ind w:hanging="0" w:start="0"/>
        <w:rPr>
          <w:b w:val="false"/>
          <w:sz w:val="22"/>
        </w:rPr>
      </w:pPr>
      <w:r>
        <w:rPr>
          <w:b w:val="false"/>
          <w:sz w:val="22"/>
        </w:rPr>
        <w:t xml:space="preserve">                             </w:t>
      </w:r>
      <w:r>
        <w:rPr>
          <w:b w:val="false"/>
          <w:sz w:val="22"/>
        </w:rPr>
        <w:t>$ 210       61%</w:t>
      </w:r>
    </w:p>
    <w:p>
      <w:pPr>
        <w:pStyle w:val="Heading7"/>
        <w:ind w:hanging="0" w:start="0"/>
        <w:rPr/>
      </w:pPr>
      <w:r>
        <w:rPr>
          <w:sz w:val="22"/>
        </w:rPr>
        <w:t xml:space="preserve">Accounts Receivable </w:t>
      </w:r>
      <w:r>
        <w:rPr>
          <w:b w:val="false"/>
          <w:sz w:val="22"/>
        </w:rPr>
        <w:t>($ collected, $ remaining, % of sales)</w:t>
      </w:r>
    </w:p>
    <w:p>
      <w:pPr>
        <w:pStyle w:val="Heading7"/>
        <w:ind w:hanging="0" w:start="0"/>
        <w:rPr/>
      </w:pPr>
      <w:r>
        <w:rPr>
          <w:b w:val="false"/>
          <w:sz w:val="22"/>
        </w:rPr>
        <w:t xml:space="preserve">   </w:t>
      </w:r>
      <w:r>
        <w:rPr>
          <w:b w:val="false"/>
          <w:sz w:val="22"/>
        </w:rPr>
        <w:tab/>
        <w:tab/>
        <w:t xml:space="preserve">             $ 314 M        $ 1.2 MM      73%       </w:t>
      </w:r>
      <w:r>
        <w:rPr>
          <w:sz w:val="22"/>
        </w:rPr>
        <w:tab/>
      </w:r>
    </w:p>
    <w:p>
      <w:pPr>
        <w:pStyle w:val="Heading2"/>
        <w:ind w:hanging="0" w:start="0"/>
        <w:jc w:val="both"/>
        <w:rPr/>
      </w:pPr>
      <w:r>
        <w:rPr/>
        <w:t xml:space="preserve">New this week                                 </w:t>
      </w:r>
    </w:p>
    <w:p>
      <w:pPr>
        <w:pStyle w:val="Normal"/>
        <w:numPr>
          <w:ilvl w:val="0"/>
          <w:numId w:val="4"/>
        </w:numPr>
        <w:rPr/>
      </w:pPr>
      <w:r>
        <w:rPr>
          <w:sz w:val="24"/>
        </w:rPr>
        <w:t>Volume low due to slow pick-ups by customers.</w:t>
      </w:r>
    </w:p>
    <w:p>
      <w:pPr>
        <w:pStyle w:val="Normal"/>
        <w:numPr>
          <w:ilvl w:val="0"/>
          <w:numId w:val="3"/>
        </w:numPr>
        <w:jc w:val="both"/>
        <w:rPr>
          <w:sz w:val="24"/>
        </w:rPr>
      </w:pPr>
      <w:r>
        <w:rPr>
          <w:sz w:val="24"/>
        </w:rPr>
        <w:t>Transfer to EcoEléctrica.  LPG transfer stopped on 7-22-00 until further notice from EcoEléctrica.</w:t>
      </w:r>
    </w:p>
    <w:p>
      <w:pPr>
        <w:pStyle w:val="Normal"/>
        <w:numPr>
          <w:ilvl w:val="0"/>
          <w:numId w:val="3"/>
        </w:numPr>
        <w:jc w:val="both"/>
        <w:rPr>
          <w:sz w:val="24"/>
        </w:rPr>
      </w:pPr>
      <w:r>
        <w:rPr>
          <w:sz w:val="24"/>
        </w:rPr>
        <w:t xml:space="preserve">A sales agreement was sent to Humberto Berrios, President of Tropigas of Puerto Rico Inc, as per instructions from Javier Chavarria.  </w:t>
      </w:r>
    </w:p>
    <w:p>
      <w:pPr>
        <w:pStyle w:val="Normal"/>
        <w:numPr>
          <w:ilvl w:val="0"/>
          <w:numId w:val="3"/>
        </w:numPr>
        <w:jc w:val="both"/>
        <w:rPr>
          <w:sz w:val="24"/>
        </w:rPr>
      </w:pPr>
      <w:r>
        <w:rPr>
          <w:sz w:val="24"/>
        </w:rPr>
        <w:t>House Representative Víctor Gacia San Inocencio (PIP) sent a project to the House, which if approved, will order the Natural Resources Department to conduct test on the land for contamination in the Tallaboa area.  It will include all the companies established in the old petrochemical complex.  This project is in preparation for the development of the Mega Port to be established from the port of Ponce to the Guayanilla bay.</w:t>
      </w:r>
    </w:p>
    <w:p>
      <w:pPr>
        <w:pStyle w:val="Normal"/>
        <w:numPr>
          <w:ilvl w:val="0"/>
          <w:numId w:val="3"/>
        </w:numPr>
        <w:jc w:val="both"/>
        <w:rPr>
          <w:sz w:val="24"/>
        </w:rPr>
      </w:pPr>
      <w:r>
        <w:rPr>
          <w:sz w:val="24"/>
        </w:rPr>
        <w:t>ProCaribe will get a loan from San Juan Gas for $800M to complete the invoice amount of the last propane shipment.  San Juan Gas interest are better than the ones offered by Enron Liquid Fuels Inc. (the seller).</w:t>
      </w:r>
    </w:p>
    <w:p>
      <w:pPr>
        <w:pStyle w:val="Normal"/>
        <w:numPr>
          <w:ilvl w:val="0"/>
          <w:numId w:val="3"/>
        </w:numPr>
        <w:jc w:val="both"/>
        <w:rPr>
          <w:sz w:val="24"/>
        </w:rPr>
      </w:pPr>
      <w:r>
        <w:rPr>
          <w:sz w:val="24"/>
        </w:rPr>
        <w:t>Empire Gas Company agreed and signed the 500,000 gallons spot sale.</w:t>
      </w:r>
    </w:p>
    <w:p>
      <w:pPr>
        <w:pStyle w:val="Normal"/>
        <w:numPr>
          <w:ilvl w:val="0"/>
          <w:numId w:val="3"/>
        </w:numPr>
        <w:jc w:val="both"/>
        <w:rPr>
          <w:sz w:val="24"/>
        </w:rPr>
      </w:pPr>
      <w:r>
        <w:rPr>
          <w:sz w:val="24"/>
        </w:rPr>
        <w:t>Liquilux Gas Corp. challenged the Public Service Commission import and export license given to the Light Gas Corp. filling plants.</w:t>
      </w:r>
    </w:p>
    <w:p>
      <w:pPr>
        <w:pStyle w:val="Normal"/>
        <w:numPr>
          <w:ilvl w:val="0"/>
          <w:numId w:val="3"/>
        </w:numPr>
        <w:jc w:val="both"/>
        <w:rPr>
          <w:sz w:val="24"/>
        </w:rPr>
      </w:pPr>
      <w:r>
        <w:rPr>
          <w:sz w:val="24"/>
        </w:rPr>
        <w:t>Puerto Rico Shipping Association monthly meeting.</w:t>
      </w:r>
    </w:p>
    <w:p>
      <w:pPr>
        <w:pStyle w:val="Heading8"/>
        <w:ind w:hanging="0" w:start="0"/>
        <w:rPr>
          <w:sz w:val="24"/>
        </w:rPr>
      </w:pPr>
      <w:r>
        <w:rPr>
          <w:sz w:val="24"/>
        </w:rPr>
      </w:r>
    </w:p>
    <w:p>
      <w:pPr>
        <w:pStyle w:val="Heading8"/>
        <w:ind w:hanging="0" w:start="0"/>
        <w:rPr/>
      </w:pPr>
      <w:r>
        <w:rPr/>
        <w:t>Visits</w:t>
      </w:r>
    </w:p>
    <w:p>
      <w:pPr>
        <w:pStyle w:val="Normal"/>
        <w:rPr/>
      </w:pPr>
      <w:r>
        <w:rPr/>
      </w:r>
    </w:p>
    <w:p>
      <w:pPr>
        <w:pStyle w:val="Normal"/>
        <w:numPr>
          <w:ilvl w:val="0"/>
          <w:numId w:val="5"/>
        </w:numPr>
        <w:rPr>
          <w:sz w:val="24"/>
        </w:rPr>
      </w:pPr>
      <w:r>
        <w:rPr>
          <w:sz w:val="24"/>
        </w:rPr>
        <w:t xml:space="preserve">                       </w:t>
      </w:r>
    </w:p>
    <w:p>
      <w:pPr>
        <w:pStyle w:val="Heading2"/>
        <w:ind w:hanging="0" w:start="0"/>
        <w:jc w:val="both"/>
        <w:rPr>
          <w:sz w:val="24"/>
        </w:rPr>
      </w:pPr>
      <w:r>
        <w:rPr>
          <w:sz w:val="24"/>
        </w:rPr>
      </w:r>
    </w:p>
    <w:p>
      <w:pPr>
        <w:pStyle w:val="Heading2"/>
        <w:ind w:hanging="0" w:start="0"/>
        <w:jc w:val="both"/>
        <w:rPr/>
      </w:pPr>
      <w:r>
        <w:rPr/>
        <w:t>To do next week</w:t>
      </w:r>
    </w:p>
    <w:p>
      <w:pPr>
        <w:pStyle w:val="Normal"/>
        <w:rPr/>
      </w:pPr>
      <w:r>
        <w:rPr/>
      </w:r>
    </w:p>
    <w:p>
      <w:pPr>
        <w:pStyle w:val="Normal"/>
        <w:numPr>
          <w:ilvl w:val="0"/>
          <w:numId w:val="6"/>
        </w:numPr>
        <w:rPr>
          <w:sz w:val="24"/>
        </w:rPr>
      </w:pPr>
      <w:r>
        <w:rPr>
          <w:sz w:val="24"/>
        </w:rPr>
        <w:t>Continue with ISO 9000 agenda.</w:t>
      </w:r>
    </w:p>
    <w:p>
      <w:pPr>
        <w:pStyle w:val="Normal"/>
        <w:rPr>
          <w:sz w:val="24"/>
        </w:rPr>
      </w:pPr>
      <w:r>
        <w:rPr>
          <w:sz w:val="24"/>
        </w:rPr>
      </w:r>
    </w:p>
    <w:p>
      <w:pPr>
        <w:pStyle w:val="Heading8"/>
        <w:ind w:hanging="0" w:start="0"/>
        <w:rPr/>
      </w:pPr>
      <w:r>
        <w:rPr/>
        <w:t>Milestone</w:t>
      </w:r>
    </w:p>
    <w:p>
      <w:pPr>
        <w:pStyle w:val="Normal"/>
        <w:rPr/>
      </w:pPr>
      <w:r>
        <w:rPr/>
      </w:r>
    </w:p>
    <w:p>
      <w:pPr>
        <w:pStyle w:val="Normal"/>
        <w:numPr>
          <w:ilvl w:val="0"/>
          <w:numId w:val="2"/>
        </w:numPr>
        <w:rPr>
          <w:b/>
          <w:sz w:val="24"/>
        </w:rPr>
      </w:pPr>
      <w:r>
        <w:rPr>
          <w:sz w:val="24"/>
        </w:rPr>
        <w:t xml:space="preserve">500,000 gallons spot sale to Empire Gas Company.                                                  </w:t>
      </w:r>
    </w:p>
    <w:p>
      <w:pPr>
        <w:pStyle w:val="Normal"/>
        <w:rPr>
          <w:b/>
          <w:sz w:val="24"/>
        </w:rPr>
      </w:pPr>
      <w:r>
        <w:rPr>
          <w:b/>
          <w:sz w:val="24"/>
        </w:rPr>
      </w:r>
    </w:p>
    <w:p>
      <w:pPr>
        <w:pStyle w:val="Normal"/>
        <w:rPr>
          <w:b/>
        </w:rPr>
      </w:pPr>
      <w:r>
        <w:rPr>
          <w:b/>
        </w:rPr>
        <w:t xml:space="preserve">                 </w:t>
      </w:r>
    </w:p>
    <w:sectPr>
      <w:type w:val="nextPage"/>
      <w:pgSz w:w="12240" w:h="15840"/>
      <w:pgMar w:left="1800" w:right="1800" w:gutter="0" w:header="0" w:top="99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2"/>
      </w:rPr>
    </w:lvl>
  </w:abstractNum>
  <w:abstractNum w:abstractNumId="3">
    <w:lvl w:ilvl="0">
      <w:start w:val="1"/>
      <w:numFmt w:val="bullet"/>
      <w:lvlText w:val=""/>
      <w:lvlJc w:val="start"/>
      <w:pPr>
        <w:tabs>
          <w:tab w:val="num" w:pos="360"/>
        </w:tabs>
        <w:ind w:start="360" w:hanging="360"/>
      </w:pPr>
      <w:rPr>
        <w:rFonts w:ascii="Symbol" w:hAnsi="Symbol" w:cs="Symbol" w:hint="default"/>
        <w:sz w:val="22"/>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sz w:val="22"/>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sz w:val="26"/>
    </w:rPr>
  </w:style>
  <w:style w:type="paragraph" w:styleId="Heading7">
    <w:name w:val="heading 7"/>
    <w:basedOn w:val="Normal"/>
    <w:next w:val="Normal"/>
    <w:qFormat/>
    <w:pPr>
      <w:keepNext w:val="true"/>
      <w:numPr>
        <w:ilvl w:val="6"/>
        <w:numId w:val="1"/>
      </w:numPr>
      <w:jc w:val="both"/>
      <w:outlineLvl w:val="6"/>
    </w:pPr>
    <w:rPr>
      <w:b/>
      <w:sz w:val="24"/>
    </w:rPr>
  </w:style>
  <w:style w:type="paragraph" w:styleId="Heading8">
    <w:name w:val="heading 8"/>
    <w:basedOn w:val="Normal"/>
    <w:next w:val="Normal"/>
    <w:qFormat/>
    <w:pPr>
      <w:keepNext w:val="true"/>
      <w:numPr>
        <w:ilvl w:val="7"/>
        <w:numId w:val="1"/>
      </w:numPr>
      <w:jc w:val="both"/>
      <w:outlineLvl w:val="7"/>
    </w:pPr>
    <w:rPr>
      <w:b/>
      <w:sz w:val="24"/>
      <w:u w:val="single"/>
    </w:rPr>
  </w:style>
  <w:style w:type="character" w:styleId="WW8Num1z0">
    <w:name w:val="WW8Num1z0"/>
    <w:qFormat/>
    <w:rPr/>
  </w:style>
  <w:style w:type="character" w:styleId="WW8Num2z0">
    <w:name w:val="WW8Num2z0"/>
    <w:qFormat/>
    <w:rPr>
      <w:rFonts w:ascii="Symbol" w:hAnsi="Symbol" w:cs="Symbol"/>
      <w:sz w:val="22"/>
    </w:rPr>
  </w:style>
  <w:style w:type="character" w:styleId="WW8Num3z0">
    <w:name w:val="WW8Num3z0"/>
    <w:qFormat/>
    <w:rPr>
      <w:rFonts w:ascii="Symbol" w:hAnsi="Symbol" w:cs="Symbol"/>
      <w:sz w:val="22"/>
    </w:rPr>
  </w:style>
  <w:style w:type="character" w:styleId="WW8Num4z0">
    <w:name w:val="WW8Num4z0"/>
    <w:qFormat/>
    <w:rPr>
      <w:rFonts w:ascii="Symbol" w:hAnsi="Symbol" w:cs="Symbol"/>
    </w:rPr>
  </w:style>
  <w:style w:type="character" w:styleId="WW8Num5z0">
    <w:name w:val="WW8Num5z0"/>
    <w:qFormat/>
    <w:rPr>
      <w:rFonts w:ascii="Symbol" w:hAnsi="Symbol" w:cs="Symbol"/>
      <w:sz w:val="22"/>
    </w:rPr>
  </w:style>
  <w:style w:type="character" w:styleId="WW8Num6z0">
    <w:name w:val="WW8Num6z0"/>
    <w:qFormat/>
    <w:rPr>
      <w:rFonts w:ascii="Symbol" w:hAnsi="Symbol" w:cs="Symbol"/>
      <w:sz w:val="22"/>
    </w:rPr>
  </w:style>
  <w:style w:type="character" w:styleId="WW8Num7z0">
    <w:name w:val="WW8Num7z0"/>
    <w:qFormat/>
    <w:rPr>
      <w:rFonts w:ascii="Symbol" w:hAnsi="Symbol" w:cs="Symbol"/>
    </w:rPr>
  </w:style>
  <w:style w:type="character" w:styleId="WW8Num8z0">
    <w:name w:val="WW8Num8z0"/>
    <w:qFormat/>
    <w:rPr>
      <w:rFonts w:ascii="Symbol" w:hAnsi="Symbol" w:cs="Symbol"/>
      <w:sz w:val="22"/>
    </w:rPr>
  </w:style>
  <w:style w:type="character" w:styleId="WW8Num9z0">
    <w:name w:val="WW8Num9z0"/>
    <w:qFormat/>
    <w:rPr>
      <w:rFonts w:ascii="Symbol" w:hAnsi="Symbol" w:cs="Symbol"/>
      <w:sz w:val="22"/>
    </w:rPr>
  </w:style>
  <w:style w:type="character" w:styleId="WW8Num10z0">
    <w:name w:val="WW8Num10z0"/>
    <w:qFormat/>
    <w:rPr>
      <w:rFonts w:ascii="Symbol" w:hAnsi="Symbol" w:cs="Symbol"/>
    </w:rPr>
  </w:style>
  <w:style w:type="character" w:styleId="WW8Num11z0">
    <w:name w:val="WW8Num11z0"/>
    <w:qFormat/>
    <w:rPr>
      <w:rFonts w:ascii="Symbol" w:hAnsi="Symbol" w:cs="Symbol"/>
      <w:sz w:val="22"/>
    </w:rPr>
  </w:style>
  <w:style w:type="character" w:styleId="WW8Num12z0">
    <w:name w:val="WW8Num12z0"/>
    <w:qFormat/>
    <w:rPr>
      <w:rFonts w:ascii="Symbol" w:hAnsi="Symbol" w:cs="Symbol"/>
      <w:sz w:val="22"/>
    </w:rPr>
  </w:style>
  <w:style w:type="character" w:styleId="WW8Num13z0">
    <w:name w:val="WW8Num13z0"/>
    <w:qFormat/>
    <w:rPr>
      <w:rFonts w:ascii="Symbol" w:hAnsi="Symbol" w:cs="Symbol"/>
      <w:sz w:val="22"/>
    </w:rPr>
  </w:style>
  <w:style w:type="character" w:styleId="WW8Num14z0">
    <w:name w:val="WW8Num14z0"/>
    <w:qFormat/>
    <w:rPr>
      <w:rFonts w:ascii="Symbol" w:hAnsi="Symbol" w:cs="Symbol"/>
    </w:rPr>
  </w:style>
  <w:style w:type="character" w:styleId="WW8Num15z0">
    <w:name w:val="WW8Num15z0"/>
    <w:qFormat/>
    <w:rPr>
      <w:rFonts w:ascii="Symbol" w:hAnsi="Symbol" w:cs="Symbol"/>
      <w:sz w:val="22"/>
    </w:rPr>
  </w:style>
  <w:style w:type="character" w:styleId="WW8Num16z0">
    <w:name w:val="WW8Num16z0"/>
    <w:qFormat/>
    <w:rPr>
      <w:rFonts w:ascii="Symbol" w:hAnsi="Symbol" w:cs="Symbol"/>
      <w:sz w:val="22"/>
    </w:rPr>
  </w:style>
  <w:style w:type="character" w:styleId="WW8Num17z0">
    <w:name w:val="WW8Num17z0"/>
    <w:qFormat/>
    <w:rPr>
      <w:rFonts w:ascii="Symbol" w:hAnsi="Symbol" w:cs="Symbol"/>
      <w:sz w:val="22"/>
    </w:rPr>
  </w:style>
  <w:style w:type="character" w:styleId="WW8Num18z0">
    <w:name w:val="WW8Num18z0"/>
    <w:qFormat/>
    <w:rPr>
      <w:rFonts w:ascii="Symbol" w:hAnsi="Symbol" w:cs="Symbol"/>
      <w:sz w:val="22"/>
    </w:rPr>
  </w:style>
  <w:style w:type="character" w:styleId="WW8Num19z0">
    <w:name w:val="WW8Num19z0"/>
    <w:qFormat/>
    <w:rPr>
      <w:rFonts w:ascii="Wingdings" w:hAnsi="Wingdings" w:cs="Wingdings"/>
      <w:sz w:val="44"/>
    </w:rPr>
  </w:style>
  <w:style w:type="character" w:styleId="WW8Num20z0">
    <w:name w:val="WW8Num20z0"/>
    <w:qFormat/>
    <w:rPr>
      <w:rFonts w:ascii="Symbol" w:hAnsi="Symbol" w:cs="Symbol"/>
    </w:rPr>
  </w:style>
  <w:style w:type="character" w:styleId="WW8Num21z0">
    <w:name w:val="WW8Num21z0"/>
    <w:qFormat/>
    <w:rPr>
      <w:rFonts w:ascii="Symbol" w:hAnsi="Symbol" w:cs="Symbol"/>
      <w:sz w:val="22"/>
    </w:rPr>
  </w:style>
  <w:style w:type="character" w:styleId="WW8Num22z0">
    <w:name w:val="WW8Num22z0"/>
    <w:qFormat/>
    <w:rPr>
      <w:rFonts w:ascii="Symbol" w:hAnsi="Symbol" w:cs="Symbol"/>
    </w:rPr>
  </w:style>
  <w:style w:type="character" w:styleId="WW8Num23z0">
    <w:name w:val="WW8Num23z0"/>
    <w:qFormat/>
    <w:rPr>
      <w:rFonts w:ascii="Symbol" w:hAnsi="Symbol" w:cs="Symbol"/>
      <w:sz w:val="22"/>
    </w:rPr>
  </w:style>
  <w:style w:type="character" w:styleId="WW8Num24z0">
    <w:name w:val="WW8Num24z0"/>
    <w:qFormat/>
    <w:rPr>
      <w:rFonts w:ascii="Symbol" w:hAnsi="Symbol" w:cs="Symbol"/>
      <w:sz w:val="22"/>
    </w:rPr>
  </w:style>
  <w:style w:type="character" w:styleId="WW8Num25z0">
    <w:name w:val="WW8Num25z0"/>
    <w:qFormat/>
    <w:rPr>
      <w:rFonts w:ascii="Symbol" w:hAnsi="Symbol" w:cs="Symbol"/>
    </w:rPr>
  </w:style>
  <w:style w:type="character" w:styleId="WW8Num26z0">
    <w:name w:val="WW8Num26z0"/>
    <w:qFormat/>
    <w:rPr>
      <w:rFonts w:ascii="Symbol" w:hAnsi="Symbol" w:cs="Symbol"/>
      <w:sz w:val="22"/>
    </w:rPr>
  </w:style>
  <w:style w:type="character" w:styleId="WW8Num27z0">
    <w:name w:val="WW8Num27z0"/>
    <w:qFormat/>
    <w:rPr>
      <w:rFonts w:ascii="Symbol" w:hAnsi="Symbol" w:cs="Symbol"/>
      <w:sz w:val="22"/>
    </w:rPr>
  </w:style>
  <w:style w:type="character" w:styleId="WW8Num28z0">
    <w:name w:val="WW8Num28z0"/>
    <w:qFormat/>
    <w:rPr>
      <w:rFonts w:ascii="Symbol" w:hAnsi="Symbol" w:cs="Symbol"/>
    </w:rPr>
  </w:style>
  <w:style w:type="character" w:styleId="WW8Num29z0">
    <w:name w:val="WW8Num29z0"/>
    <w:qFormat/>
    <w:rPr>
      <w:rFonts w:ascii="Symbol" w:hAnsi="Symbol" w:cs="Symbol"/>
      <w:sz w:val="22"/>
    </w:rPr>
  </w:style>
  <w:style w:type="character" w:styleId="WW8Num30z0">
    <w:name w:val="WW8Num30z0"/>
    <w:qFormat/>
    <w:rPr>
      <w:rFonts w:ascii="Symbol" w:hAnsi="Symbol" w:cs="Symbol"/>
      <w:sz w:val="22"/>
    </w:rPr>
  </w:style>
  <w:style w:type="character" w:styleId="WW8Num31z0">
    <w:name w:val="WW8Num31z0"/>
    <w:qFormat/>
    <w:rPr>
      <w:rFonts w:ascii="Symbol" w:hAnsi="Symbol" w:cs="Symbol"/>
      <w:sz w:val="22"/>
    </w:rPr>
  </w:style>
  <w:style w:type="character" w:styleId="WW8Num32z0">
    <w:name w:val="WW8Num32z0"/>
    <w:qFormat/>
    <w:rPr>
      <w:rFonts w:ascii="Symbol" w:hAnsi="Symbol" w:cs="Symbol"/>
      <w:sz w:val="22"/>
    </w:rPr>
  </w:style>
  <w:style w:type="character" w:styleId="WW8Num33z0">
    <w:name w:val="WW8Num33z0"/>
    <w:qFormat/>
    <w:rPr>
      <w:rFonts w:ascii="Symbol" w:hAnsi="Symbol" w:cs="Symbol"/>
      <w:sz w:val="22"/>
    </w:rPr>
  </w:style>
  <w:style w:type="character" w:styleId="WW8Num34z0">
    <w:name w:val="WW8Num34z0"/>
    <w:qFormat/>
    <w:rPr>
      <w:rFonts w:ascii="Symbol" w:hAnsi="Symbol" w:cs="Symbol"/>
      <w:sz w:val="22"/>
    </w:rPr>
  </w:style>
  <w:style w:type="character" w:styleId="WW8Num35z0">
    <w:name w:val="WW8Num35z0"/>
    <w:qFormat/>
    <w:rPr>
      <w:rFonts w:ascii="Symbol" w:hAnsi="Symbol" w:cs="Symbol"/>
      <w:sz w:val="22"/>
    </w:rPr>
  </w:style>
  <w:style w:type="character" w:styleId="WW8Num36z0">
    <w:name w:val="WW8Num36z0"/>
    <w:qFormat/>
    <w:rPr>
      <w:rFonts w:ascii="Symbol" w:hAnsi="Symbol" w:cs="Symbol"/>
      <w:sz w:val="22"/>
    </w:rPr>
  </w:style>
  <w:style w:type="character" w:styleId="WW8Num37z0">
    <w:name w:val="WW8Num37z0"/>
    <w:qFormat/>
    <w:rPr>
      <w:rFonts w:ascii="Symbol" w:hAnsi="Symbol" w:cs="Symbol"/>
      <w:sz w:val="22"/>
    </w:rPr>
  </w:style>
  <w:style w:type="character" w:styleId="WW8Num38z0">
    <w:name w:val="WW8Num38z0"/>
    <w:qFormat/>
    <w:rPr>
      <w:rFonts w:ascii="Symbol" w:hAnsi="Symbol" w:cs="Symbol"/>
    </w:rPr>
  </w:style>
  <w:style w:type="character" w:styleId="WW8Num39z0">
    <w:name w:val="WW8Num39z0"/>
    <w:qFormat/>
    <w:rPr>
      <w:rFonts w:ascii="Symbol" w:hAnsi="Symbol" w:cs="Symbol"/>
      <w:sz w:val="22"/>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sz w:val="22"/>
    </w:rPr>
  </w:style>
  <w:style w:type="character" w:styleId="WW8Num43z0">
    <w:name w:val="WW8Num43z0"/>
    <w:qFormat/>
    <w:rPr>
      <w:rFonts w:ascii="Symbol" w:hAnsi="Symbol" w:cs="Symbol"/>
      <w:sz w:val="22"/>
    </w:rPr>
  </w:style>
  <w:style w:type="character" w:styleId="WW8Num44z0">
    <w:name w:val="WW8Num44z0"/>
    <w:qFormat/>
    <w:rPr>
      <w:rFonts w:ascii="Symbol" w:hAnsi="Symbol" w:cs="Symbol"/>
    </w:rPr>
  </w:style>
  <w:style w:type="character" w:styleId="WW8Num45z0">
    <w:name w:val="WW8Num45z0"/>
    <w:qFormat/>
    <w:rPr>
      <w:rFonts w:ascii="Symbol" w:hAnsi="Symbol" w:cs="Symbol"/>
      <w:sz w:val="22"/>
    </w:rPr>
  </w:style>
  <w:style w:type="character" w:styleId="WW8Num46z0">
    <w:name w:val="WW8Num46z0"/>
    <w:qFormat/>
    <w:rPr>
      <w:rFonts w:ascii="Symbol" w:hAnsi="Symbol" w:cs="Symbol"/>
      <w:sz w:val="22"/>
    </w:rPr>
  </w:style>
  <w:style w:type="character" w:styleId="WW8Num47z0">
    <w:name w:val="WW8Num47z0"/>
    <w:qFormat/>
    <w:rPr>
      <w:rFonts w:ascii="Symbol" w:hAnsi="Symbol" w:cs="Symbol"/>
    </w:rPr>
  </w:style>
  <w:style w:type="character" w:styleId="WW8Num48z0">
    <w:name w:val="WW8Num48z0"/>
    <w:qFormat/>
    <w:rPr>
      <w:rFonts w:ascii="Symbol" w:hAnsi="Symbol" w:cs="Symbol"/>
      <w:sz w:val="22"/>
    </w:rPr>
  </w:style>
  <w:style w:type="character" w:styleId="WW8Num49z0">
    <w:name w:val="WW8Num49z0"/>
    <w:qFormat/>
    <w:rPr>
      <w:rFonts w:ascii="Symbol" w:hAnsi="Symbol" w:cs="Symbol"/>
      <w:sz w:val="22"/>
    </w:rPr>
  </w:style>
  <w:style w:type="character" w:styleId="WW8Num50z0">
    <w:name w:val="WW8Num50z0"/>
    <w:qFormat/>
    <w:rPr>
      <w:rFonts w:ascii="Symbol" w:hAnsi="Symbol" w:cs="Symbol"/>
      <w:sz w:val="22"/>
    </w:rPr>
  </w:style>
  <w:style w:type="character" w:styleId="WW8Num51z0">
    <w:name w:val="WW8Num51z0"/>
    <w:qFormat/>
    <w:rPr>
      <w:rFonts w:ascii="Symbol" w:hAnsi="Symbol" w:cs="Symbol"/>
      <w:sz w:val="22"/>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sz w:val="22"/>
    </w:rPr>
  </w:style>
  <w:style w:type="character" w:styleId="WW8Num57z0">
    <w:name w:val="WW8Num57z0"/>
    <w:qFormat/>
    <w:rPr>
      <w:rFonts w:ascii="Symbol" w:hAnsi="Symbol" w:cs="Symbol"/>
    </w:rPr>
  </w:style>
  <w:style w:type="character" w:styleId="WW8Num58z0">
    <w:name w:val="WW8Num58z0"/>
    <w:qFormat/>
    <w:rPr>
      <w:rFonts w:ascii="Symbol" w:hAnsi="Symbol" w:cs="Symbol"/>
      <w:sz w:val="22"/>
    </w:rPr>
  </w:style>
  <w:style w:type="character" w:styleId="WW8Num59z0">
    <w:name w:val="WW8Num5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2001-06-07T13:37:00Z</dcterms:created>
  <dc:creator>Elizabeth Negrón</dc:creator>
  <dc:description/>
  <dc:language>en-CA</dc:language>
  <cp:lastModifiedBy>Elizabeth Negrón</cp:lastModifiedBy>
  <cp:lastPrinted>2000-10-20T10:11:00Z</cp:lastPrinted>
  <dcterms:modified xsi:type="dcterms:W3CDTF">2001-06-07T13:49:00Z</dcterms:modified>
  <cp:revision>9</cp:revision>
  <dc:subject/>
  <dc:title>PUERTO RICO WEEKLY UPDATE</dc:title>
</cp:coreProperties>
</file>