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p>
    <w:p>
      <w:pPr>
        <w:pStyle w:val="Heading"/>
        <w:rPr/>
      </w:pPr>
      <w:r>
        <w:rPr/>
        <w:t>PUERTO RICO WEEKLY UPDATE</w:t>
      </w:r>
    </w:p>
    <w:p>
      <w:pPr>
        <w:pStyle w:val="Normal"/>
        <w:jc w:val="center"/>
        <w:rPr>
          <w:b/>
          <w:sz w:val="24"/>
        </w:rPr>
      </w:pPr>
      <w:r>
        <w:rPr>
          <w:b/>
          <w:sz w:val="24"/>
        </w:rPr>
        <w:t xml:space="preserve">June 28, 2001              </w:t>
      </w:r>
    </w:p>
    <w:p>
      <w:pPr>
        <w:pStyle w:val="Normal"/>
        <w:jc w:val="center"/>
        <w:rPr>
          <w:b/>
          <w:sz w:val="24"/>
        </w:rPr>
      </w:pPr>
      <w:r>
        <w:rPr>
          <w:b/>
          <w:sz w:val="24"/>
        </w:rPr>
      </w:r>
    </w:p>
    <w:p>
      <w:pPr>
        <w:pStyle w:val="Normal"/>
        <w:jc w:val="center"/>
        <w:rPr>
          <w:b/>
          <w:sz w:val="24"/>
        </w:rPr>
      </w:pPr>
      <w:r>
        <w:rPr>
          <w:b/>
          <w:sz w:val="24"/>
        </w:rPr>
      </w:r>
    </w:p>
    <w:p>
      <w:pPr>
        <w:pStyle w:val="Normal"/>
        <w:pBdr>
          <w:top w:val="double" w:sz="4" w:space="1" w:color="000000"/>
          <w:bottom w:val="double" w:sz="4" w:space="1" w:color="000000"/>
        </w:pBdr>
        <w:jc w:val="center"/>
        <w:rPr>
          <w:b/>
          <w:sz w:val="24"/>
        </w:rPr>
      </w:pPr>
      <w:r>
        <w:rPr>
          <w:b/>
          <w:sz w:val="24"/>
        </w:rPr>
        <w:t xml:space="preserve">PROCARIBE                </w:t>
      </w:r>
    </w:p>
    <w:p>
      <w:pPr>
        <w:pStyle w:val="Normal"/>
        <w:pBdr>
          <w:top w:val="double" w:sz="4" w:space="1" w:color="000000"/>
          <w:bottom w:val="double" w:sz="4" w:space="1" w:color="000000"/>
        </w:pBdr>
        <w:jc w:val="center"/>
        <w:rPr>
          <w:sz w:val="24"/>
        </w:rPr>
      </w:pPr>
      <w:r>
        <w:rPr>
          <w:sz w:val="24"/>
        </w:rPr>
        <w:t>23,000 MT Refrigerated LPG Terminal in Peñuelas</w:t>
      </w:r>
    </w:p>
    <w:p>
      <w:pPr>
        <w:pStyle w:val="Normal"/>
        <w:jc w:val="center"/>
        <w:rPr>
          <w:sz w:val="24"/>
        </w:rPr>
      </w:pPr>
      <w:r>
        <w:rPr>
          <w:sz w:val="24"/>
        </w:rPr>
      </w:r>
    </w:p>
    <w:p>
      <w:pPr>
        <w:pStyle w:val="Heading1"/>
        <w:ind w:hanging="0" w:start="0"/>
        <w:jc w:val="both"/>
        <w:rPr/>
      </w:pPr>
      <w:r>
        <w:rPr>
          <w:sz w:val="22"/>
        </w:rPr>
        <w:t xml:space="preserve">Inventory Level </w:t>
      </w:r>
      <w:r>
        <w:rPr>
          <w:b w:val="false"/>
          <w:sz w:val="22"/>
        </w:rPr>
        <w:t>EcoEléctrica – 4,849,516 gals.</w:t>
      </w:r>
    </w:p>
    <w:p>
      <w:pPr>
        <w:pStyle w:val="Normal"/>
        <w:jc w:val="both"/>
        <w:rPr/>
      </w:pPr>
      <w:r>
        <w:rPr>
          <w:b/>
          <w:sz w:val="22"/>
        </w:rPr>
        <w:tab/>
        <w:tab/>
        <w:t xml:space="preserve">  </w:t>
      </w:r>
      <w:r>
        <w:rPr>
          <w:sz w:val="22"/>
        </w:rPr>
        <w:t>ProCaribe –  1,774,983 gals.</w:t>
      </w:r>
    </w:p>
    <w:p>
      <w:pPr>
        <w:pStyle w:val="Normal"/>
        <w:jc w:val="both"/>
        <w:rPr>
          <w:sz w:val="22"/>
        </w:rPr>
      </w:pPr>
      <w:r>
        <w:rPr>
          <w:sz w:val="22"/>
        </w:rPr>
        <w:t xml:space="preserve">                            </w:t>
      </w:r>
      <w:r>
        <w:rPr>
          <w:sz w:val="22"/>
        </w:rPr>
        <w:t>Total Gallons –  6,624,499 gals.</w:t>
      </w:r>
    </w:p>
    <w:p>
      <w:pPr>
        <w:pStyle w:val="Normal"/>
        <w:ind w:start="720" w:end="0"/>
        <w:jc w:val="both"/>
        <w:rPr/>
      </w:pPr>
      <w:r>
        <w:rPr>
          <w:b/>
          <w:sz w:val="22"/>
        </w:rPr>
        <w:t>Sales Volume</w:t>
        <w:tab/>
      </w:r>
      <w:r>
        <w:rPr>
          <w:sz w:val="22"/>
        </w:rPr>
        <w:t>(gallons and % of budget)</w:t>
      </w:r>
    </w:p>
    <w:p>
      <w:pPr>
        <w:pStyle w:val="Normal"/>
        <w:jc w:val="both"/>
        <w:rPr/>
      </w:pPr>
      <w:r>
        <w:rPr>
          <w:b/>
          <w:sz w:val="22"/>
        </w:rPr>
        <w:tab/>
        <w:tab/>
        <w:t xml:space="preserve">               </w:t>
      </w:r>
      <w:r>
        <w:rPr>
          <w:sz w:val="22"/>
        </w:rPr>
        <w:t xml:space="preserve"> 357 M gals.,     78 %</w:t>
      </w:r>
    </w:p>
    <w:p>
      <w:pPr>
        <w:pStyle w:val="Normal"/>
        <w:jc w:val="both"/>
        <w:rPr/>
      </w:pPr>
      <w:r>
        <w:rPr>
          <w:b/>
          <w:sz w:val="22"/>
        </w:rPr>
        <w:t xml:space="preserve">Sales Revenue </w:t>
      </w:r>
      <w:r>
        <w:rPr>
          <w:sz w:val="22"/>
        </w:rPr>
        <w:t>($ and % of budget)</w:t>
      </w:r>
    </w:p>
    <w:p>
      <w:pPr>
        <w:pStyle w:val="Heading7"/>
        <w:ind w:hanging="0" w:start="0"/>
        <w:rPr>
          <w:b w:val="false"/>
          <w:sz w:val="22"/>
        </w:rPr>
      </w:pPr>
      <w:r>
        <w:rPr>
          <w:b w:val="false"/>
          <w:sz w:val="22"/>
        </w:rPr>
        <w:t xml:space="preserve">                             </w:t>
      </w:r>
      <w:r>
        <w:rPr>
          <w:b w:val="false"/>
          <w:sz w:val="22"/>
        </w:rPr>
        <w:t>$ 236      69%</w:t>
      </w:r>
    </w:p>
    <w:p>
      <w:pPr>
        <w:pStyle w:val="Heading7"/>
        <w:ind w:hanging="0" w:start="0"/>
        <w:rPr/>
      </w:pPr>
      <w:r>
        <w:rPr>
          <w:sz w:val="22"/>
        </w:rPr>
        <w:t xml:space="preserve">Accounts Receivable </w:t>
      </w:r>
      <w:r>
        <w:rPr>
          <w:b w:val="false"/>
          <w:sz w:val="22"/>
        </w:rPr>
        <w:t>($ collected, $ remaining, % of sales)</w:t>
      </w:r>
    </w:p>
    <w:p>
      <w:pPr>
        <w:pStyle w:val="Heading7"/>
        <w:ind w:hanging="0" w:start="0"/>
        <w:rPr/>
      </w:pPr>
      <w:r>
        <w:rPr>
          <w:b w:val="false"/>
          <w:sz w:val="22"/>
        </w:rPr>
        <w:t xml:space="preserve">   </w:t>
      </w:r>
      <w:r>
        <w:rPr>
          <w:b w:val="false"/>
          <w:sz w:val="22"/>
        </w:rPr>
        <w:tab/>
        <w:tab/>
        <w:t xml:space="preserve">             $ 48 M      $ 1.5 MM       82%       </w:t>
      </w:r>
      <w:r>
        <w:rPr>
          <w:sz w:val="22"/>
        </w:rPr>
        <w:tab/>
      </w:r>
    </w:p>
    <w:p>
      <w:pPr>
        <w:pStyle w:val="Heading2"/>
        <w:ind w:hanging="0" w:start="0"/>
        <w:jc w:val="both"/>
        <w:rPr/>
      </w:pPr>
      <w:r>
        <w:rPr/>
        <w:t xml:space="preserve">New this week                                 </w:t>
      </w:r>
    </w:p>
    <w:p>
      <w:pPr>
        <w:pStyle w:val="Normal"/>
        <w:numPr>
          <w:ilvl w:val="0"/>
          <w:numId w:val="7"/>
        </w:numPr>
        <w:rPr/>
      </w:pPr>
      <w:r>
        <w:rPr>
          <w:sz w:val="24"/>
        </w:rPr>
        <w:t xml:space="preserve">Volume low due to slow pick ups by customers this week.       </w:t>
      </w:r>
    </w:p>
    <w:p>
      <w:pPr>
        <w:pStyle w:val="Normal"/>
        <w:numPr>
          <w:ilvl w:val="0"/>
          <w:numId w:val="6"/>
        </w:numPr>
        <w:jc w:val="both"/>
        <w:rPr>
          <w:sz w:val="24"/>
        </w:rPr>
      </w:pPr>
      <w:r>
        <w:rPr>
          <w:sz w:val="24"/>
        </w:rPr>
        <w:t>Transfer to EcoEléctrica.  LPG transfer stopped on 7-22-00 until further notice from EcoEléctrica.</w:t>
      </w:r>
    </w:p>
    <w:p>
      <w:pPr>
        <w:pStyle w:val="Normal"/>
        <w:numPr>
          <w:ilvl w:val="0"/>
          <w:numId w:val="2"/>
        </w:numPr>
        <w:jc w:val="both"/>
        <w:rPr>
          <w:sz w:val="24"/>
        </w:rPr>
      </w:pPr>
      <w:r>
        <w:rPr>
          <w:sz w:val="24"/>
        </w:rPr>
        <w:t xml:space="preserve">Rafael Medina supports to San Juan Gas on Fixed Asset ledger.  </w:t>
      </w:r>
    </w:p>
    <w:p>
      <w:pPr>
        <w:pStyle w:val="Heading8"/>
        <w:numPr>
          <w:ilvl w:val="0"/>
          <w:numId w:val="4"/>
        </w:numPr>
        <w:rPr>
          <w:b w:val="false"/>
          <w:u w:val="none"/>
        </w:rPr>
      </w:pPr>
      <w:r>
        <w:rPr>
          <w:b w:val="false"/>
          <w:u w:val="none"/>
        </w:rPr>
        <w:t>Signed another 500,000 gallons spot sale to Empire Gas Company price equals to the first one.</w:t>
      </w:r>
    </w:p>
    <w:p>
      <w:pPr>
        <w:pStyle w:val="Normal"/>
        <w:numPr>
          <w:ilvl w:val="0"/>
          <w:numId w:val="3"/>
        </w:numPr>
        <w:rPr/>
      </w:pPr>
      <w:r>
        <w:rPr>
          <w:sz w:val="24"/>
        </w:rPr>
        <w:t>A revised sales contract was sent to Tropigas for 4,400,000 gallons to be pick up at ProCaribe in the next four months.  These are the Progasco volumes and are as per Javier Chavarria’s instructions.  Copies of the sales contract were sent to Coralina Rivera, Esq. and Fernando Goyco, Esq.</w:t>
      </w:r>
    </w:p>
    <w:p>
      <w:pPr>
        <w:pStyle w:val="Normal"/>
        <w:numPr>
          <w:ilvl w:val="0"/>
          <w:numId w:val="3"/>
        </w:numPr>
        <w:rPr/>
      </w:pPr>
      <w:r>
        <w:rPr>
          <w:sz w:val="24"/>
        </w:rPr>
        <w:t>Will attend Port of the Americas (MegaPort) meeting held by Puerto Rico Industrial Development Company.</w:t>
      </w:r>
    </w:p>
    <w:p>
      <w:pPr>
        <w:pStyle w:val="Normal"/>
        <w:rPr/>
      </w:pPr>
      <w:r>
        <w:rPr/>
      </w:r>
    </w:p>
    <w:p>
      <w:pPr>
        <w:pStyle w:val="Normal"/>
        <w:rPr/>
      </w:pPr>
      <w:r>
        <w:rPr/>
      </w:r>
    </w:p>
    <w:p>
      <w:pPr>
        <w:pStyle w:val="Heading8"/>
        <w:ind w:hanging="0" w:start="0"/>
        <w:rPr/>
      </w:pPr>
      <w:r>
        <w:rPr/>
        <w:t>Visits</w:t>
      </w:r>
    </w:p>
    <w:p>
      <w:pPr>
        <w:pStyle w:val="Normal"/>
        <w:rPr/>
      </w:pPr>
      <w:r>
        <w:rPr/>
      </w:r>
    </w:p>
    <w:p>
      <w:pPr>
        <w:pStyle w:val="Normal"/>
        <w:numPr>
          <w:ilvl w:val="0"/>
          <w:numId w:val="8"/>
        </w:numPr>
        <w:rPr>
          <w:sz w:val="24"/>
        </w:rPr>
      </w:pPr>
      <w:r>
        <w:rPr>
          <w:sz w:val="24"/>
        </w:rPr>
        <w:t xml:space="preserve">None </w:t>
      </w:r>
    </w:p>
    <w:p>
      <w:pPr>
        <w:pStyle w:val="Heading2"/>
        <w:ind w:hanging="0" w:start="0"/>
        <w:jc w:val="both"/>
        <w:rPr>
          <w:sz w:val="24"/>
        </w:rPr>
      </w:pPr>
      <w:r>
        <w:rPr>
          <w:sz w:val="24"/>
        </w:rPr>
      </w:r>
    </w:p>
    <w:p>
      <w:pPr>
        <w:pStyle w:val="Heading2"/>
        <w:ind w:hanging="0" w:start="0"/>
        <w:jc w:val="both"/>
        <w:rPr/>
      </w:pPr>
      <w:r>
        <w:rPr/>
        <w:t>To do next week</w:t>
      </w:r>
    </w:p>
    <w:p>
      <w:pPr>
        <w:pStyle w:val="Normal"/>
        <w:rPr/>
      </w:pPr>
      <w:r>
        <w:rPr/>
      </w:r>
    </w:p>
    <w:p>
      <w:pPr>
        <w:pStyle w:val="Normal"/>
        <w:numPr>
          <w:ilvl w:val="0"/>
          <w:numId w:val="9"/>
        </w:numPr>
        <w:rPr>
          <w:sz w:val="24"/>
        </w:rPr>
      </w:pPr>
      <w:r>
        <w:rPr>
          <w:sz w:val="24"/>
        </w:rPr>
        <w:t>Puerto Rico Ports Authority monthly nomination.</w:t>
      </w:r>
    </w:p>
    <w:p>
      <w:pPr>
        <w:pStyle w:val="Normal"/>
        <w:numPr>
          <w:ilvl w:val="0"/>
          <w:numId w:val="9"/>
        </w:numPr>
        <w:rPr>
          <w:sz w:val="24"/>
        </w:rPr>
      </w:pPr>
      <w:r>
        <w:rPr>
          <w:sz w:val="24"/>
        </w:rPr>
        <w:t>Puerto Rico Shipping Association meeting.</w:t>
      </w:r>
    </w:p>
    <w:p>
      <w:pPr>
        <w:pStyle w:val="Normal"/>
        <w:numPr>
          <w:ilvl w:val="0"/>
          <w:numId w:val="9"/>
        </w:numPr>
        <w:rPr>
          <w:sz w:val="24"/>
        </w:rPr>
      </w:pPr>
      <w:r>
        <w:rPr>
          <w:sz w:val="24"/>
        </w:rPr>
        <w:t>Miguel Maltés on vacations from July 16</w:t>
      </w:r>
      <w:r>
        <w:rPr>
          <w:sz w:val="24"/>
          <w:vertAlign w:val="superscript"/>
        </w:rPr>
        <w:t>th</w:t>
      </w:r>
      <w:r>
        <w:rPr>
          <w:sz w:val="24"/>
        </w:rPr>
        <w:t xml:space="preserve"> – July 30</w:t>
      </w:r>
      <w:r>
        <w:rPr>
          <w:sz w:val="24"/>
          <w:vertAlign w:val="superscript"/>
        </w:rPr>
        <w:t>th</w:t>
      </w:r>
      <w:r>
        <w:rPr>
          <w:sz w:val="24"/>
        </w:rPr>
        <w:t xml:space="preserve"> </w:t>
      </w:r>
    </w:p>
    <w:p>
      <w:pPr>
        <w:pStyle w:val="Normal"/>
        <w:rPr>
          <w:sz w:val="24"/>
        </w:rPr>
      </w:pPr>
      <w:r>
        <w:rPr>
          <w:sz w:val="24"/>
        </w:rPr>
      </w:r>
    </w:p>
    <w:p>
      <w:pPr>
        <w:pStyle w:val="Heading8"/>
        <w:ind w:hanging="0" w:start="0"/>
        <w:rPr/>
      </w:pPr>
      <w:r>
        <w:rPr/>
        <w:t>Milestone</w:t>
      </w:r>
    </w:p>
    <w:p>
      <w:pPr>
        <w:pStyle w:val="Normal"/>
        <w:rPr/>
      </w:pPr>
      <w:r>
        <w:rPr/>
      </w:r>
    </w:p>
    <w:p>
      <w:pPr>
        <w:pStyle w:val="Normal"/>
        <w:numPr>
          <w:ilvl w:val="0"/>
          <w:numId w:val="5"/>
        </w:numPr>
        <w:rPr>
          <w:b/>
          <w:sz w:val="24"/>
        </w:rPr>
      </w:pPr>
      <w:r>
        <w:rPr>
          <w:sz w:val="24"/>
        </w:rPr>
        <w:t>500,000 gallons spot sale to Empire Gas Company.</w:t>
      </w:r>
    </w:p>
    <w:p>
      <w:pPr>
        <w:pStyle w:val="Normal"/>
        <w:rPr>
          <w:b/>
          <w:sz w:val="24"/>
        </w:rPr>
      </w:pPr>
      <w:r>
        <w:rPr>
          <w:b/>
          <w:sz w:val="24"/>
        </w:rPr>
      </w:r>
    </w:p>
    <w:p>
      <w:pPr>
        <w:pStyle w:val="Normal"/>
        <w:rPr>
          <w:b/>
        </w:rPr>
      </w:pPr>
      <w:r>
        <w:rPr>
          <w:b/>
        </w:rPr>
        <w:t xml:space="preserve">                 </w:t>
      </w:r>
    </w:p>
    <w:sectPr>
      <w:type w:val="nextPage"/>
      <w:pgSz w:w="12240" w:h="15840"/>
      <w:pgMar w:left="1800" w:right="1800" w:gutter="0" w:header="0" w:top="99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2"/>
      </w:rPr>
    </w:lvl>
  </w:abstractNum>
  <w:abstractNum w:abstractNumId="3">
    <w:lvl w:ilvl="0">
      <w:start w:val="1"/>
      <w:numFmt w:val="bullet"/>
      <w:lvlText w:val=""/>
      <w:lvlJc w:val="start"/>
      <w:pPr>
        <w:tabs>
          <w:tab w:val="num" w:pos="360"/>
        </w:tabs>
        <w:ind w:start="360" w:hanging="360"/>
      </w:pPr>
      <w:rPr>
        <w:rFonts w:ascii="Symbol" w:hAnsi="Symbol" w:cs="Symbol" w:hint="default"/>
        <w:sz w:val="22"/>
      </w:rPr>
    </w:lvl>
  </w:abstractNum>
  <w:abstractNum w:abstractNumId="4">
    <w:lvl w:ilvl="0">
      <w:start w:val="1"/>
      <w:numFmt w:val="bullet"/>
      <w:lvlText w:val=""/>
      <w:lvlJc w:val="start"/>
      <w:pPr>
        <w:tabs>
          <w:tab w:val="num" w:pos="360"/>
        </w:tabs>
        <w:ind w:start="360" w:hanging="360"/>
      </w:pPr>
      <w:rPr>
        <w:rFonts w:ascii="Symbol" w:hAnsi="Symbol" w:cs="Symbol" w:hint="default"/>
        <w:sz w:val="22"/>
      </w:rPr>
    </w:lvl>
  </w:abstractNum>
  <w:abstractNum w:abstractNumId="5">
    <w:lvl w:ilvl="0">
      <w:start w:val="1"/>
      <w:numFmt w:val="bullet"/>
      <w:lvlText w:val=""/>
      <w:lvlJc w:val="start"/>
      <w:pPr>
        <w:tabs>
          <w:tab w:val="num" w:pos="360"/>
        </w:tabs>
        <w:ind w:start="360" w:hanging="360"/>
      </w:pPr>
      <w:rPr>
        <w:rFonts w:ascii="Symbol" w:hAnsi="Symbol" w:cs="Symbol" w:hint="default"/>
        <w:sz w:val="22"/>
      </w:rPr>
    </w:lvl>
  </w:abstractNum>
  <w:abstractNum w:abstractNumId="6">
    <w:lvl w:ilvl="0">
      <w:start w:val="1"/>
      <w:numFmt w:val="bullet"/>
      <w:lvlText w:val=""/>
      <w:lvlJc w:val="start"/>
      <w:pPr>
        <w:tabs>
          <w:tab w:val="num" w:pos="360"/>
        </w:tabs>
        <w:ind w:start="360" w:hanging="360"/>
      </w:pPr>
      <w:rPr>
        <w:rFonts w:ascii="Symbol" w:hAnsi="Symbol" w:cs="Symbol" w:hint="default"/>
        <w:sz w:val="22"/>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22"/>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outlineLvl w:val="5"/>
    </w:pPr>
    <w:rPr>
      <w:sz w:val="26"/>
    </w:rPr>
  </w:style>
  <w:style w:type="paragraph" w:styleId="Heading7">
    <w:name w:val="heading 7"/>
    <w:basedOn w:val="Normal"/>
    <w:next w:val="Normal"/>
    <w:qFormat/>
    <w:pPr>
      <w:keepNext w:val="true"/>
      <w:numPr>
        <w:ilvl w:val="6"/>
        <w:numId w:val="1"/>
      </w:numPr>
      <w:jc w:val="both"/>
      <w:outlineLvl w:val="6"/>
    </w:pPr>
    <w:rPr>
      <w:b/>
      <w:sz w:val="24"/>
    </w:rPr>
  </w:style>
  <w:style w:type="paragraph" w:styleId="Heading8">
    <w:name w:val="heading 8"/>
    <w:basedOn w:val="Normal"/>
    <w:next w:val="Normal"/>
    <w:qFormat/>
    <w:pPr>
      <w:keepNext w:val="true"/>
      <w:numPr>
        <w:ilvl w:val="7"/>
        <w:numId w:val="1"/>
      </w:numPr>
      <w:jc w:val="both"/>
      <w:outlineLvl w:val="7"/>
    </w:pPr>
    <w:rPr>
      <w:b/>
      <w:sz w:val="24"/>
      <w:u w:val="single"/>
    </w:rPr>
  </w:style>
  <w:style w:type="character" w:styleId="WW8Num1z0">
    <w:name w:val="WW8Num1z0"/>
    <w:qFormat/>
    <w:rPr/>
  </w:style>
  <w:style w:type="character" w:styleId="WW8Num2z0">
    <w:name w:val="WW8Num2z0"/>
    <w:qFormat/>
    <w:rPr>
      <w:rFonts w:ascii="Symbol" w:hAnsi="Symbol" w:cs="Symbol"/>
      <w:sz w:val="22"/>
    </w:rPr>
  </w:style>
  <w:style w:type="character" w:styleId="WW8Num3z0">
    <w:name w:val="WW8Num3z0"/>
    <w:qFormat/>
    <w:rPr>
      <w:rFonts w:ascii="Symbol" w:hAnsi="Symbol" w:cs="Symbol"/>
      <w:sz w:val="22"/>
    </w:rPr>
  </w:style>
  <w:style w:type="character" w:styleId="WW8Num4z0">
    <w:name w:val="WW8Num4z0"/>
    <w:qFormat/>
    <w:rPr>
      <w:rFonts w:ascii="Symbol" w:hAnsi="Symbol" w:cs="Symbol"/>
    </w:rPr>
  </w:style>
  <w:style w:type="character" w:styleId="WW8Num5z0">
    <w:name w:val="WW8Num5z0"/>
    <w:qFormat/>
    <w:rPr>
      <w:rFonts w:ascii="Symbol" w:hAnsi="Symbol" w:cs="Symbol"/>
      <w:sz w:val="22"/>
    </w:rPr>
  </w:style>
  <w:style w:type="character" w:styleId="WW8Num6z0">
    <w:name w:val="WW8Num6z0"/>
    <w:qFormat/>
    <w:rPr>
      <w:rFonts w:ascii="Symbol" w:hAnsi="Symbol" w:cs="Symbol"/>
      <w:sz w:val="22"/>
    </w:rPr>
  </w:style>
  <w:style w:type="character" w:styleId="WW8Num7z0">
    <w:name w:val="WW8Num7z0"/>
    <w:qFormat/>
    <w:rPr>
      <w:rFonts w:ascii="Symbol" w:hAnsi="Symbol" w:cs="Symbol"/>
    </w:rPr>
  </w:style>
  <w:style w:type="character" w:styleId="WW8Num8z0">
    <w:name w:val="WW8Num8z0"/>
    <w:qFormat/>
    <w:rPr>
      <w:rFonts w:ascii="Symbol" w:hAnsi="Symbol" w:cs="Symbol"/>
      <w:sz w:val="22"/>
    </w:rPr>
  </w:style>
  <w:style w:type="character" w:styleId="WW8Num9z0">
    <w:name w:val="WW8Num9z0"/>
    <w:qFormat/>
    <w:rPr>
      <w:rFonts w:ascii="Symbol" w:hAnsi="Symbol" w:cs="Symbol"/>
      <w:sz w:val="22"/>
    </w:rPr>
  </w:style>
  <w:style w:type="character" w:styleId="WW8Num10z0">
    <w:name w:val="WW8Num10z0"/>
    <w:qFormat/>
    <w:rPr>
      <w:rFonts w:ascii="Symbol" w:hAnsi="Symbol" w:cs="Symbol"/>
    </w:rPr>
  </w:style>
  <w:style w:type="character" w:styleId="WW8Num11z0">
    <w:name w:val="WW8Num11z0"/>
    <w:qFormat/>
    <w:rPr>
      <w:rFonts w:ascii="Symbol" w:hAnsi="Symbol" w:cs="Symbol"/>
      <w:sz w:val="22"/>
    </w:rPr>
  </w:style>
  <w:style w:type="character" w:styleId="WW8Num12z0">
    <w:name w:val="WW8Num12z0"/>
    <w:qFormat/>
    <w:rPr>
      <w:rFonts w:ascii="Symbol" w:hAnsi="Symbol" w:cs="Symbol"/>
      <w:sz w:val="22"/>
    </w:rPr>
  </w:style>
  <w:style w:type="character" w:styleId="WW8Num13z0">
    <w:name w:val="WW8Num13z0"/>
    <w:qFormat/>
    <w:rPr>
      <w:rFonts w:ascii="Symbol" w:hAnsi="Symbol" w:cs="Symbol"/>
      <w:sz w:val="22"/>
    </w:rPr>
  </w:style>
  <w:style w:type="character" w:styleId="WW8Num14z0">
    <w:name w:val="WW8Num14z0"/>
    <w:qFormat/>
    <w:rPr>
      <w:rFonts w:ascii="Symbol" w:hAnsi="Symbol" w:cs="Symbol"/>
    </w:rPr>
  </w:style>
  <w:style w:type="character" w:styleId="WW8Num15z0">
    <w:name w:val="WW8Num15z0"/>
    <w:qFormat/>
    <w:rPr>
      <w:rFonts w:ascii="Symbol" w:hAnsi="Symbol" w:cs="Symbol"/>
      <w:sz w:val="22"/>
    </w:rPr>
  </w:style>
  <w:style w:type="character" w:styleId="WW8Num16z0">
    <w:name w:val="WW8Num16z0"/>
    <w:qFormat/>
    <w:rPr>
      <w:rFonts w:ascii="Symbol" w:hAnsi="Symbol" w:cs="Symbol"/>
      <w:sz w:val="22"/>
    </w:rPr>
  </w:style>
  <w:style w:type="character" w:styleId="WW8Num17z0">
    <w:name w:val="WW8Num17z0"/>
    <w:qFormat/>
    <w:rPr>
      <w:rFonts w:ascii="Symbol" w:hAnsi="Symbol" w:cs="Symbol"/>
      <w:sz w:val="22"/>
    </w:rPr>
  </w:style>
  <w:style w:type="character" w:styleId="WW8Num18z0">
    <w:name w:val="WW8Num18z0"/>
    <w:qFormat/>
    <w:rPr>
      <w:rFonts w:ascii="Symbol" w:hAnsi="Symbol" w:cs="Symbol"/>
      <w:sz w:val="22"/>
    </w:rPr>
  </w:style>
  <w:style w:type="character" w:styleId="WW8Num19z0">
    <w:name w:val="WW8Num19z0"/>
    <w:qFormat/>
    <w:rPr>
      <w:rFonts w:ascii="Wingdings" w:hAnsi="Wingdings" w:cs="Wingdings"/>
      <w:sz w:val="44"/>
    </w:rPr>
  </w:style>
  <w:style w:type="character" w:styleId="WW8Num20z0">
    <w:name w:val="WW8Num20z0"/>
    <w:qFormat/>
    <w:rPr>
      <w:rFonts w:ascii="Symbol" w:hAnsi="Symbol" w:cs="Symbol"/>
    </w:rPr>
  </w:style>
  <w:style w:type="character" w:styleId="WW8Num21z0">
    <w:name w:val="WW8Num21z0"/>
    <w:qFormat/>
    <w:rPr>
      <w:rFonts w:ascii="Symbol" w:hAnsi="Symbol" w:cs="Symbol"/>
      <w:sz w:val="22"/>
    </w:rPr>
  </w:style>
  <w:style w:type="character" w:styleId="WW8Num22z0">
    <w:name w:val="WW8Num22z0"/>
    <w:qFormat/>
    <w:rPr>
      <w:rFonts w:ascii="Symbol" w:hAnsi="Symbol" w:cs="Symbol"/>
      <w:sz w:val="22"/>
    </w:rPr>
  </w:style>
  <w:style w:type="character" w:styleId="WW8Num23z0">
    <w:name w:val="WW8Num23z0"/>
    <w:qFormat/>
    <w:rPr>
      <w:rFonts w:ascii="Symbol" w:hAnsi="Symbol" w:cs="Symbol"/>
    </w:rPr>
  </w:style>
  <w:style w:type="character" w:styleId="WW8Num24z0">
    <w:name w:val="WW8Num24z0"/>
    <w:qFormat/>
    <w:rPr>
      <w:rFonts w:ascii="Symbol" w:hAnsi="Symbol" w:cs="Symbol"/>
      <w:sz w:val="22"/>
    </w:rPr>
  </w:style>
  <w:style w:type="character" w:styleId="WW8Num25z0">
    <w:name w:val="WW8Num25z0"/>
    <w:qFormat/>
    <w:rPr>
      <w:rFonts w:ascii="Symbol" w:hAnsi="Symbol" w:cs="Symbol"/>
      <w:sz w:val="22"/>
    </w:rPr>
  </w:style>
  <w:style w:type="character" w:styleId="WW8Num26z0">
    <w:name w:val="WW8Num26z0"/>
    <w:qFormat/>
    <w:rPr>
      <w:rFonts w:ascii="Symbol" w:hAnsi="Symbol" w:cs="Symbol"/>
      <w:sz w:val="22"/>
    </w:rPr>
  </w:style>
  <w:style w:type="character" w:styleId="WW8Num27z0">
    <w:name w:val="WW8Num27z0"/>
    <w:qFormat/>
    <w:rPr>
      <w:rFonts w:ascii="Symbol" w:hAnsi="Symbol" w:cs="Symbol"/>
    </w:rPr>
  </w:style>
  <w:style w:type="character" w:styleId="WW8Num28z0">
    <w:name w:val="WW8Num28z0"/>
    <w:qFormat/>
    <w:rPr>
      <w:rFonts w:ascii="Symbol" w:hAnsi="Symbol" w:cs="Symbol"/>
      <w:sz w:val="22"/>
    </w:rPr>
  </w:style>
  <w:style w:type="character" w:styleId="WW8Num29z0">
    <w:name w:val="WW8Num29z0"/>
    <w:qFormat/>
    <w:rPr>
      <w:rFonts w:ascii="Symbol" w:hAnsi="Symbol" w:cs="Symbol"/>
      <w:sz w:val="22"/>
    </w:rPr>
  </w:style>
  <w:style w:type="character" w:styleId="WW8Num30z0">
    <w:name w:val="WW8Num30z0"/>
    <w:qFormat/>
    <w:rPr>
      <w:rFonts w:ascii="Symbol" w:hAnsi="Symbol" w:cs="Symbol"/>
      <w:sz w:val="22"/>
    </w:rPr>
  </w:style>
  <w:style w:type="character" w:styleId="WW8Num31z0">
    <w:name w:val="WW8Num31z0"/>
    <w:qFormat/>
    <w:rPr>
      <w:rFonts w:ascii="Symbol" w:hAnsi="Symbol" w:cs="Symbol"/>
    </w:rPr>
  </w:style>
  <w:style w:type="character" w:styleId="WW8Num32z0">
    <w:name w:val="WW8Num32z0"/>
    <w:qFormat/>
    <w:rPr>
      <w:rFonts w:ascii="Symbol" w:hAnsi="Symbol" w:cs="Symbol"/>
      <w:sz w:val="22"/>
    </w:rPr>
  </w:style>
  <w:style w:type="character" w:styleId="WW8Num33z0">
    <w:name w:val="WW8Num33z0"/>
    <w:qFormat/>
    <w:rPr>
      <w:rFonts w:ascii="Symbol" w:hAnsi="Symbol" w:cs="Symbol"/>
      <w:sz w:val="22"/>
    </w:rPr>
  </w:style>
  <w:style w:type="character" w:styleId="WW8Num34z0">
    <w:name w:val="WW8Num34z0"/>
    <w:qFormat/>
    <w:rPr>
      <w:rFonts w:ascii="Symbol" w:hAnsi="Symbol" w:cs="Symbol"/>
      <w:sz w:val="22"/>
    </w:rPr>
  </w:style>
  <w:style w:type="character" w:styleId="WW8Num35z0">
    <w:name w:val="WW8Num35z0"/>
    <w:qFormat/>
    <w:rPr>
      <w:rFonts w:ascii="Symbol" w:hAnsi="Symbol" w:cs="Symbol"/>
      <w:sz w:val="22"/>
    </w:rPr>
  </w:style>
  <w:style w:type="character" w:styleId="WW8Num36z0">
    <w:name w:val="WW8Num36z0"/>
    <w:qFormat/>
    <w:rPr>
      <w:rFonts w:ascii="Symbol" w:hAnsi="Symbol" w:cs="Symbol"/>
      <w:sz w:val="22"/>
    </w:rPr>
  </w:style>
  <w:style w:type="character" w:styleId="WW8Num37z0">
    <w:name w:val="WW8Num37z0"/>
    <w:qFormat/>
    <w:rPr>
      <w:rFonts w:ascii="Symbol" w:hAnsi="Symbol" w:cs="Symbol"/>
      <w:sz w:val="22"/>
    </w:rPr>
  </w:style>
  <w:style w:type="character" w:styleId="WW8Num38z0">
    <w:name w:val="WW8Num38z0"/>
    <w:qFormat/>
    <w:rPr>
      <w:rFonts w:ascii="Symbol" w:hAnsi="Symbol" w:cs="Symbol"/>
      <w:sz w:val="22"/>
    </w:rPr>
  </w:style>
  <w:style w:type="character" w:styleId="WW8Num39z0">
    <w:name w:val="WW8Num39z0"/>
    <w:qFormat/>
    <w:rPr>
      <w:rFonts w:ascii="Symbol" w:hAnsi="Symbol" w:cs="Symbol"/>
      <w:sz w:val="22"/>
    </w:rPr>
  </w:style>
  <w:style w:type="character" w:styleId="WW8Num40z0">
    <w:name w:val="WW8Num40z0"/>
    <w:qFormat/>
    <w:rPr>
      <w:rFonts w:ascii="Symbol" w:hAnsi="Symbol" w:cs="Symbol"/>
      <w:sz w:val="22"/>
    </w:rPr>
  </w:style>
  <w:style w:type="character" w:styleId="WW8Num41z0">
    <w:name w:val="WW8Num41z0"/>
    <w:qFormat/>
    <w:rPr>
      <w:rFonts w:ascii="Symbol" w:hAnsi="Symbol" w:cs="Symbol"/>
    </w:rPr>
  </w:style>
  <w:style w:type="character" w:styleId="WW8Num42z0">
    <w:name w:val="WW8Num42z0"/>
    <w:qFormat/>
    <w:rPr>
      <w:rFonts w:ascii="Symbol" w:hAnsi="Symbol" w:cs="Symbol"/>
      <w:sz w:val="22"/>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sz w:val="22"/>
    </w:rPr>
  </w:style>
  <w:style w:type="character" w:styleId="WW8Num46z0">
    <w:name w:val="WW8Num46z0"/>
    <w:qFormat/>
    <w:rPr>
      <w:rFonts w:ascii="Symbol" w:hAnsi="Symbol" w:cs="Symbol"/>
      <w:sz w:val="22"/>
    </w:rPr>
  </w:style>
  <w:style w:type="character" w:styleId="WW8Num47z0">
    <w:name w:val="WW8Num47z0"/>
    <w:qFormat/>
    <w:rPr>
      <w:rFonts w:ascii="Symbol" w:hAnsi="Symbol" w:cs="Symbol"/>
    </w:rPr>
  </w:style>
  <w:style w:type="character" w:styleId="WW8Num48z0">
    <w:name w:val="WW8Num48z0"/>
    <w:qFormat/>
    <w:rPr>
      <w:rFonts w:ascii="Symbol" w:hAnsi="Symbol" w:cs="Symbol"/>
      <w:sz w:val="22"/>
    </w:rPr>
  </w:style>
  <w:style w:type="character" w:styleId="WW8Num49z0">
    <w:name w:val="WW8Num49z0"/>
    <w:qFormat/>
    <w:rPr>
      <w:rFonts w:ascii="Symbol" w:hAnsi="Symbol" w:cs="Symbol"/>
      <w:sz w:val="22"/>
    </w:rPr>
  </w:style>
  <w:style w:type="character" w:styleId="WW8Num50z0">
    <w:name w:val="WW8Num50z0"/>
    <w:qFormat/>
    <w:rPr>
      <w:rFonts w:ascii="Symbol" w:hAnsi="Symbol" w:cs="Symbol"/>
    </w:rPr>
  </w:style>
  <w:style w:type="character" w:styleId="WW8Num51z0">
    <w:name w:val="WW8Num51z0"/>
    <w:qFormat/>
    <w:rPr>
      <w:rFonts w:ascii="Symbol" w:hAnsi="Symbol" w:cs="Symbol"/>
      <w:sz w:val="22"/>
    </w:rPr>
  </w:style>
  <w:style w:type="character" w:styleId="WW8Num52z0">
    <w:name w:val="WW8Num52z0"/>
    <w:qFormat/>
    <w:rPr>
      <w:rFonts w:ascii="Symbol" w:hAnsi="Symbol" w:cs="Symbol"/>
      <w:sz w:val="22"/>
    </w:rPr>
  </w:style>
  <w:style w:type="character" w:styleId="WW8Num53z0">
    <w:name w:val="WW8Num53z0"/>
    <w:qFormat/>
    <w:rPr>
      <w:rFonts w:ascii="Symbol" w:hAnsi="Symbol" w:cs="Symbol"/>
      <w:sz w:val="22"/>
    </w:rPr>
  </w:style>
  <w:style w:type="character" w:styleId="WW8Num54z0">
    <w:name w:val="WW8Num54z0"/>
    <w:qFormat/>
    <w:rPr>
      <w:rFonts w:ascii="Symbol" w:hAnsi="Symbol" w:cs="Symbol"/>
      <w:sz w:val="22"/>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sz w:val="22"/>
    </w:rPr>
  </w:style>
  <w:style w:type="character" w:styleId="WW8Num60z0">
    <w:name w:val="WW8Num60z0"/>
    <w:qFormat/>
    <w:rPr>
      <w:rFonts w:ascii="Symbol" w:hAnsi="Symbol" w:cs="Symbol"/>
    </w:rPr>
  </w:style>
  <w:style w:type="character" w:styleId="WW8Num61z0">
    <w:name w:val="WW8Num61z0"/>
    <w:qFormat/>
    <w:rPr>
      <w:rFonts w:ascii="Symbol" w:hAnsi="Symbol" w:cs="Symbol"/>
      <w:sz w:val="22"/>
    </w:rPr>
  </w:style>
  <w:style w:type="character" w:styleId="WW8Num62z0">
    <w:name w:val="WW8Num6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2001-06-28T14:42:00Z</dcterms:created>
  <dc:creator>Elizabeth Negrón</dc:creator>
  <dc:description/>
  <dc:language>en-CA</dc:language>
  <cp:lastModifiedBy>Elizabeth Negrón</cp:lastModifiedBy>
  <cp:lastPrinted>2000-10-20T10:11:00Z</cp:lastPrinted>
  <dcterms:modified xsi:type="dcterms:W3CDTF">2001-06-28T16:36:00Z</dcterms:modified>
  <cp:revision>8</cp:revision>
  <dc:subject/>
  <dc:title>PUERTO RICO WEEKLY UPDATE</dc:title>
</cp:coreProperties>
</file>