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   </w:t>
      </w:r>
    </w:p>
    <w:p>
      <w:pPr>
        <w:pStyle w:val="Heading"/>
        <w:rPr/>
      </w:pPr>
      <w:r>
        <w:rPr/>
        <w:t>PUERTO RICO WEEKLY UPDATE</w:t>
      </w:r>
    </w:p>
    <w:p>
      <w:pPr>
        <w:pStyle w:val="Normal"/>
        <w:jc w:val="center"/>
        <w:rPr>
          <w:b/>
          <w:sz w:val="24"/>
        </w:rPr>
      </w:pPr>
      <w:r>
        <w:rPr>
          <w:b/>
          <w:sz w:val="24"/>
        </w:rPr>
        <w:t xml:space="preserve">June 21, 2001              </w:t>
      </w:r>
    </w:p>
    <w:p>
      <w:pPr>
        <w:pStyle w:val="Normal"/>
        <w:jc w:val="center"/>
        <w:rPr>
          <w:b/>
          <w:sz w:val="24"/>
        </w:rPr>
      </w:pPr>
      <w:r>
        <w:rPr>
          <w:b/>
          <w:sz w:val="24"/>
        </w:rPr>
      </w:r>
    </w:p>
    <w:p>
      <w:pPr>
        <w:pStyle w:val="Normal"/>
        <w:jc w:val="center"/>
        <w:rPr>
          <w:b/>
          <w:sz w:val="24"/>
        </w:rPr>
      </w:pPr>
      <w:r>
        <w:rPr>
          <w:b/>
          <w:sz w:val="24"/>
        </w:rPr>
      </w:r>
    </w:p>
    <w:p>
      <w:pPr>
        <w:pStyle w:val="Normal"/>
        <w:pBdr>
          <w:top w:val="double" w:sz="4" w:space="1" w:color="000000"/>
          <w:bottom w:val="double" w:sz="4" w:space="1" w:color="000000"/>
        </w:pBdr>
        <w:jc w:val="center"/>
        <w:rPr>
          <w:b/>
          <w:sz w:val="24"/>
        </w:rPr>
      </w:pPr>
      <w:r>
        <w:rPr>
          <w:b/>
          <w:sz w:val="24"/>
        </w:rPr>
        <w:t xml:space="preserve">PROCARIBE                </w:t>
      </w:r>
    </w:p>
    <w:p>
      <w:pPr>
        <w:pStyle w:val="Normal"/>
        <w:pBdr>
          <w:top w:val="double" w:sz="4" w:space="1" w:color="000000"/>
          <w:bottom w:val="double" w:sz="4" w:space="1" w:color="000000"/>
        </w:pBdr>
        <w:jc w:val="center"/>
        <w:rPr>
          <w:sz w:val="24"/>
        </w:rPr>
      </w:pPr>
      <w:r>
        <w:rPr>
          <w:sz w:val="24"/>
        </w:rPr>
        <w:t>23,000 MT Refrigerated LPG Terminal in Peñuelas</w:t>
      </w:r>
    </w:p>
    <w:p>
      <w:pPr>
        <w:pStyle w:val="Normal"/>
        <w:jc w:val="center"/>
        <w:rPr>
          <w:sz w:val="24"/>
        </w:rPr>
      </w:pPr>
      <w:r>
        <w:rPr>
          <w:sz w:val="24"/>
        </w:rPr>
      </w:r>
    </w:p>
    <w:p>
      <w:pPr>
        <w:pStyle w:val="Heading1"/>
        <w:ind w:hanging="0" w:start="0"/>
        <w:jc w:val="both"/>
        <w:rPr/>
      </w:pPr>
      <w:r>
        <w:rPr>
          <w:sz w:val="22"/>
        </w:rPr>
        <w:t xml:space="preserve">Inventory Level </w:t>
      </w:r>
      <w:r>
        <w:rPr>
          <w:b w:val="false"/>
          <w:sz w:val="22"/>
        </w:rPr>
        <w:t>EcoEléctrica – 4,849,516 gals.</w:t>
      </w:r>
    </w:p>
    <w:p>
      <w:pPr>
        <w:pStyle w:val="Normal"/>
        <w:jc w:val="both"/>
        <w:rPr/>
      </w:pPr>
      <w:r>
        <w:rPr>
          <w:b/>
          <w:sz w:val="22"/>
        </w:rPr>
        <w:tab/>
        <w:tab/>
        <w:t xml:space="preserve">  </w:t>
      </w:r>
      <w:r>
        <w:rPr>
          <w:sz w:val="22"/>
        </w:rPr>
        <w:t>ProCaribe –  2,218,349 gals.</w:t>
      </w:r>
    </w:p>
    <w:p>
      <w:pPr>
        <w:pStyle w:val="Normal"/>
        <w:jc w:val="both"/>
        <w:rPr>
          <w:sz w:val="22"/>
        </w:rPr>
      </w:pPr>
      <w:r>
        <w:rPr>
          <w:sz w:val="22"/>
        </w:rPr>
        <w:t xml:space="preserve">                            </w:t>
      </w:r>
      <w:r>
        <w:rPr>
          <w:sz w:val="22"/>
        </w:rPr>
        <w:t>Total Gallons –  6,977,865 gals.</w:t>
      </w:r>
    </w:p>
    <w:p>
      <w:pPr>
        <w:pStyle w:val="Normal"/>
        <w:ind w:start="720" w:end="0"/>
        <w:jc w:val="both"/>
        <w:rPr/>
      </w:pPr>
      <w:r>
        <w:rPr>
          <w:b/>
          <w:sz w:val="22"/>
        </w:rPr>
        <w:t>Sales Volume</w:t>
        <w:tab/>
      </w:r>
      <w:r>
        <w:rPr>
          <w:sz w:val="22"/>
        </w:rPr>
        <w:t>(gallons and % of budget)</w:t>
      </w:r>
    </w:p>
    <w:p>
      <w:pPr>
        <w:pStyle w:val="Normal"/>
        <w:jc w:val="both"/>
        <w:rPr/>
      </w:pPr>
      <w:r>
        <w:rPr>
          <w:b/>
          <w:sz w:val="22"/>
        </w:rPr>
        <w:tab/>
        <w:tab/>
        <w:t xml:space="preserve">               </w:t>
      </w:r>
      <w:r>
        <w:rPr>
          <w:sz w:val="22"/>
        </w:rPr>
        <w:t xml:space="preserve"> 350 M gals.,     76 %</w:t>
      </w:r>
    </w:p>
    <w:p>
      <w:pPr>
        <w:pStyle w:val="Normal"/>
        <w:jc w:val="both"/>
        <w:rPr/>
      </w:pPr>
      <w:r>
        <w:rPr>
          <w:b/>
          <w:sz w:val="22"/>
        </w:rPr>
        <w:t xml:space="preserve">Sales Revenue </w:t>
      </w:r>
      <w:r>
        <w:rPr>
          <w:sz w:val="22"/>
        </w:rPr>
        <w:t>($ and % of budget)</w:t>
      </w:r>
    </w:p>
    <w:p>
      <w:pPr>
        <w:pStyle w:val="Heading7"/>
        <w:ind w:hanging="0" w:start="0"/>
        <w:rPr>
          <w:b w:val="false"/>
          <w:sz w:val="22"/>
        </w:rPr>
      </w:pPr>
      <w:r>
        <w:rPr>
          <w:b w:val="false"/>
          <w:sz w:val="22"/>
        </w:rPr>
        <w:t xml:space="preserve">                             </w:t>
      </w:r>
      <w:r>
        <w:rPr>
          <w:b w:val="false"/>
          <w:sz w:val="22"/>
        </w:rPr>
        <w:t>$ 209      61%</w:t>
      </w:r>
    </w:p>
    <w:p>
      <w:pPr>
        <w:pStyle w:val="Heading7"/>
        <w:ind w:hanging="0" w:start="0"/>
        <w:rPr/>
      </w:pPr>
      <w:r>
        <w:rPr>
          <w:sz w:val="22"/>
        </w:rPr>
        <w:t xml:space="preserve">Accounts Receivable </w:t>
      </w:r>
      <w:r>
        <w:rPr>
          <w:b w:val="false"/>
          <w:sz w:val="22"/>
        </w:rPr>
        <w:t>($ collected, $ remaining, % of sales)</w:t>
      </w:r>
    </w:p>
    <w:p>
      <w:pPr>
        <w:pStyle w:val="Heading7"/>
        <w:ind w:hanging="0" w:start="0"/>
        <w:rPr/>
      </w:pPr>
      <w:r>
        <w:rPr>
          <w:b w:val="false"/>
          <w:sz w:val="22"/>
        </w:rPr>
        <w:t xml:space="preserve">   </w:t>
      </w:r>
      <w:r>
        <w:rPr>
          <w:b w:val="false"/>
          <w:sz w:val="22"/>
        </w:rPr>
        <w:tab/>
        <w:tab/>
        <w:t xml:space="preserve">             $ 228 M      $ 1.4 MM       75%       </w:t>
      </w:r>
      <w:r>
        <w:rPr>
          <w:sz w:val="22"/>
        </w:rPr>
        <w:tab/>
      </w:r>
    </w:p>
    <w:p>
      <w:pPr>
        <w:pStyle w:val="Heading2"/>
        <w:ind w:hanging="0" w:start="0"/>
        <w:jc w:val="both"/>
        <w:rPr/>
      </w:pPr>
      <w:r>
        <w:rPr/>
        <w:t xml:space="preserve">New this week                                 </w:t>
      </w:r>
    </w:p>
    <w:p>
      <w:pPr>
        <w:pStyle w:val="Normal"/>
        <w:numPr>
          <w:ilvl w:val="0"/>
          <w:numId w:val="5"/>
        </w:numPr>
        <w:rPr/>
      </w:pPr>
      <w:r>
        <w:rPr>
          <w:sz w:val="24"/>
        </w:rPr>
        <w:t xml:space="preserve">Volume low due to slow pick ups by customers this week.       </w:t>
      </w:r>
    </w:p>
    <w:p>
      <w:pPr>
        <w:pStyle w:val="Normal"/>
        <w:numPr>
          <w:ilvl w:val="0"/>
          <w:numId w:val="4"/>
        </w:numPr>
        <w:jc w:val="both"/>
        <w:rPr>
          <w:sz w:val="24"/>
        </w:rPr>
      </w:pPr>
      <w:r>
        <w:rPr>
          <w:sz w:val="24"/>
        </w:rPr>
        <w:t>Transfer to EcoEléctrica.  LPG transfer stopped on 7-22-00 until further notice from EcoEléctrica.</w:t>
      </w:r>
    </w:p>
    <w:p>
      <w:pPr>
        <w:pStyle w:val="Normal"/>
        <w:numPr>
          <w:ilvl w:val="0"/>
          <w:numId w:val="4"/>
        </w:numPr>
        <w:jc w:val="both"/>
        <w:rPr>
          <w:sz w:val="24"/>
        </w:rPr>
      </w:pPr>
      <w:r>
        <w:rPr>
          <w:sz w:val="24"/>
        </w:rPr>
        <w:t>Foreign Trade Zone – Marshall V. Miller, Esq. Foreign Trade Zone expert lawyer visited ProCaribe.  He believes that ProCaribe and EcoEléctrica have a good chance in getting a sub zone for both companies.  He thinks that our “story” is a new and different one and that it should be taken first to the Foreign Trade Zone Board in Washington, DC and try to get there “blessing”.  If we get there “blessing” then start the procedure of getting the sub zone for EcoEléctrica and us.  He says that the Board treat very well, is very supportive and does things for companies established in Puerto Rico that they normally would not do in the United States.  He will return to Puerto Rico in about 6 weeks.</w:t>
      </w:r>
    </w:p>
    <w:p>
      <w:pPr>
        <w:pStyle w:val="Normal"/>
        <w:numPr>
          <w:ilvl w:val="0"/>
          <w:numId w:val="2"/>
        </w:numPr>
        <w:jc w:val="both"/>
        <w:rPr>
          <w:sz w:val="24"/>
        </w:rPr>
      </w:pPr>
      <w:r>
        <w:rPr>
          <w:sz w:val="24"/>
        </w:rPr>
        <w:t xml:space="preserve">Rafael Medina supports on Fixed Asset reconciliation of San Juan Gas.  </w:t>
      </w:r>
    </w:p>
    <w:p>
      <w:pPr>
        <w:pStyle w:val="Normal"/>
        <w:numPr>
          <w:ilvl w:val="0"/>
          <w:numId w:val="2"/>
        </w:numPr>
        <w:jc w:val="both"/>
        <w:rPr>
          <w:sz w:val="24"/>
        </w:rPr>
      </w:pPr>
      <w:r>
        <w:rPr>
          <w:sz w:val="24"/>
        </w:rPr>
        <w:t>Copies of ProCaribe’s Certificate of Insurance were delivered to EcoEléctrica as per this month schedule of deliverables.</w:t>
      </w:r>
    </w:p>
    <w:p>
      <w:pPr>
        <w:pStyle w:val="Normal"/>
        <w:jc w:val="both"/>
        <w:rPr>
          <w:sz w:val="24"/>
        </w:rPr>
      </w:pPr>
      <w:r>
        <w:rPr>
          <w:sz w:val="24"/>
        </w:rPr>
      </w:r>
    </w:p>
    <w:p>
      <w:pPr>
        <w:pStyle w:val="Heading8"/>
        <w:ind w:hanging="0" w:start="0"/>
        <w:rPr/>
      </w:pPr>
      <w:r>
        <w:rPr/>
        <w:t>Visits</w:t>
      </w:r>
    </w:p>
    <w:p>
      <w:pPr>
        <w:pStyle w:val="Normal"/>
        <w:rPr/>
      </w:pPr>
      <w:r>
        <w:rPr/>
      </w:r>
    </w:p>
    <w:p>
      <w:pPr>
        <w:pStyle w:val="Normal"/>
        <w:numPr>
          <w:ilvl w:val="0"/>
          <w:numId w:val="6"/>
        </w:numPr>
        <w:rPr>
          <w:sz w:val="24"/>
        </w:rPr>
      </w:pPr>
      <w:r>
        <w:rPr>
          <w:sz w:val="24"/>
        </w:rPr>
        <w:t xml:space="preserve">Marshall V. Miller </w:t>
      </w:r>
    </w:p>
    <w:p>
      <w:pPr>
        <w:pStyle w:val="Normal"/>
        <w:numPr>
          <w:ilvl w:val="0"/>
          <w:numId w:val="6"/>
        </w:numPr>
        <w:rPr>
          <w:sz w:val="24"/>
        </w:rPr>
      </w:pPr>
      <w:r>
        <w:rPr>
          <w:sz w:val="24"/>
        </w:rPr>
        <w:t>Johnny Fernández, Esq. Executive Director of Codezol</w:t>
      </w:r>
    </w:p>
    <w:p>
      <w:pPr>
        <w:pStyle w:val="Normal"/>
        <w:numPr>
          <w:ilvl w:val="0"/>
          <w:numId w:val="6"/>
        </w:numPr>
        <w:rPr>
          <w:sz w:val="24"/>
        </w:rPr>
      </w:pPr>
      <w:r>
        <w:rPr>
          <w:sz w:val="24"/>
        </w:rPr>
        <w:t>Jorge Cebollero, Codezol Board member</w:t>
      </w:r>
    </w:p>
    <w:p>
      <w:pPr>
        <w:pStyle w:val="Normal"/>
        <w:numPr>
          <w:ilvl w:val="0"/>
          <w:numId w:val="6"/>
        </w:numPr>
        <w:rPr>
          <w:sz w:val="24"/>
        </w:rPr>
      </w:pPr>
      <w:r>
        <w:rPr>
          <w:sz w:val="24"/>
        </w:rPr>
        <w:t>Jaime Sanabria, EcoEléctrica</w:t>
      </w:r>
    </w:p>
    <w:p>
      <w:pPr>
        <w:pStyle w:val="Heading2"/>
        <w:ind w:hanging="0" w:start="0"/>
        <w:jc w:val="both"/>
        <w:rPr>
          <w:sz w:val="24"/>
        </w:rPr>
      </w:pPr>
      <w:r>
        <w:rPr>
          <w:sz w:val="24"/>
        </w:rPr>
      </w:r>
    </w:p>
    <w:p>
      <w:pPr>
        <w:pStyle w:val="Heading2"/>
        <w:ind w:hanging="0" w:start="0"/>
        <w:jc w:val="both"/>
        <w:rPr/>
      </w:pPr>
      <w:r>
        <w:rPr/>
        <w:t>To do next week</w:t>
      </w:r>
    </w:p>
    <w:p>
      <w:pPr>
        <w:pStyle w:val="Normal"/>
        <w:rPr/>
      </w:pPr>
      <w:r>
        <w:rPr/>
      </w:r>
    </w:p>
    <w:p>
      <w:pPr>
        <w:pStyle w:val="Normal"/>
        <w:numPr>
          <w:ilvl w:val="0"/>
          <w:numId w:val="7"/>
        </w:numPr>
        <w:rPr>
          <w:sz w:val="24"/>
        </w:rPr>
      </w:pPr>
      <w:r>
        <w:rPr>
          <w:sz w:val="24"/>
        </w:rPr>
        <w:t>Port of the Americas (Mega Port) meeting.</w:t>
      </w:r>
    </w:p>
    <w:p>
      <w:pPr>
        <w:pStyle w:val="Normal"/>
        <w:rPr>
          <w:sz w:val="24"/>
        </w:rPr>
      </w:pPr>
      <w:r>
        <w:rPr>
          <w:sz w:val="24"/>
        </w:rPr>
      </w:r>
    </w:p>
    <w:p>
      <w:pPr>
        <w:pStyle w:val="Heading8"/>
        <w:ind w:hanging="0" w:start="0"/>
        <w:rPr/>
      </w:pPr>
      <w:r>
        <w:rPr/>
        <w:t>Milestone</w:t>
      </w:r>
    </w:p>
    <w:p>
      <w:pPr>
        <w:pStyle w:val="Normal"/>
        <w:rPr/>
      </w:pPr>
      <w:r>
        <w:rPr/>
      </w:r>
    </w:p>
    <w:p>
      <w:pPr>
        <w:pStyle w:val="Normal"/>
        <w:numPr>
          <w:ilvl w:val="0"/>
          <w:numId w:val="3"/>
        </w:numPr>
        <w:rPr>
          <w:b/>
          <w:sz w:val="24"/>
        </w:rPr>
      </w:pPr>
      <w:r>
        <w:rPr>
          <w:sz w:val="24"/>
        </w:rPr>
        <w:t>None.</w:t>
      </w:r>
    </w:p>
    <w:p>
      <w:pPr>
        <w:pStyle w:val="Normal"/>
        <w:rPr>
          <w:b/>
          <w:sz w:val="24"/>
        </w:rPr>
      </w:pPr>
      <w:r>
        <w:rPr>
          <w:b/>
          <w:sz w:val="24"/>
        </w:rPr>
      </w:r>
    </w:p>
    <w:p>
      <w:pPr>
        <w:pStyle w:val="Normal"/>
        <w:rPr>
          <w:b/>
        </w:rPr>
      </w:pPr>
      <w:r>
        <w:rPr>
          <w:b/>
        </w:rPr>
        <w:t xml:space="preserve">                 </w:t>
      </w:r>
    </w:p>
    <w:sectPr>
      <w:type w:val="nextPage"/>
      <w:pgSz w:w="12240" w:h="15840"/>
      <w:pgMar w:left="1800" w:right="1800" w:gutter="0" w:header="0" w:top="99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2"/>
      </w:rPr>
    </w:lvl>
  </w:abstractNum>
  <w:abstractNum w:abstractNumId="3">
    <w:lvl w:ilvl="0">
      <w:start w:val="1"/>
      <w:numFmt w:val="bullet"/>
      <w:lvlText w:val=""/>
      <w:lvlJc w:val="start"/>
      <w:pPr>
        <w:tabs>
          <w:tab w:val="num" w:pos="360"/>
        </w:tabs>
        <w:ind w:start="360" w:hanging="360"/>
      </w:pPr>
      <w:rPr>
        <w:rFonts w:ascii="Symbol" w:hAnsi="Symbol" w:cs="Symbol" w:hint="default"/>
        <w:sz w:val="22"/>
      </w:rPr>
    </w:lvl>
  </w:abstractNum>
  <w:abstractNum w:abstractNumId="4">
    <w:lvl w:ilvl="0">
      <w:start w:val="1"/>
      <w:numFmt w:val="bullet"/>
      <w:lvlText w:val=""/>
      <w:lvlJc w:val="start"/>
      <w:pPr>
        <w:tabs>
          <w:tab w:val="num" w:pos="360"/>
        </w:tabs>
        <w:ind w:start="360" w:hanging="360"/>
      </w:pPr>
      <w:rPr>
        <w:rFonts w:ascii="Symbol" w:hAnsi="Symbol" w:cs="Symbol" w:hint="default"/>
        <w:sz w:val="22"/>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sz w:val="22"/>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outlineLvl w:val="5"/>
    </w:pPr>
    <w:rPr>
      <w:sz w:val="26"/>
    </w:rPr>
  </w:style>
  <w:style w:type="paragraph" w:styleId="Heading7">
    <w:name w:val="heading 7"/>
    <w:basedOn w:val="Normal"/>
    <w:next w:val="Normal"/>
    <w:qFormat/>
    <w:pPr>
      <w:keepNext w:val="true"/>
      <w:numPr>
        <w:ilvl w:val="6"/>
        <w:numId w:val="1"/>
      </w:numPr>
      <w:jc w:val="both"/>
      <w:outlineLvl w:val="6"/>
    </w:pPr>
    <w:rPr>
      <w:b/>
      <w:sz w:val="24"/>
    </w:rPr>
  </w:style>
  <w:style w:type="paragraph" w:styleId="Heading8">
    <w:name w:val="heading 8"/>
    <w:basedOn w:val="Normal"/>
    <w:next w:val="Normal"/>
    <w:qFormat/>
    <w:pPr>
      <w:keepNext w:val="true"/>
      <w:numPr>
        <w:ilvl w:val="7"/>
        <w:numId w:val="1"/>
      </w:numPr>
      <w:jc w:val="both"/>
      <w:outlineLvl w:val="7"/>
    </w:pPr>
    <w:rPr>
      <w:b/>
      <w:sz w:val="24"/>
      <w:u w:val="single"/>
    </w:rPr>
  </w:style>
  <w:style w:type="character" w:styleId="WW8Num1z0">
    <w:name w:val="WW8Num1z0"/>
    <w:qFormat/>
    <w:rPr/>
  </w:style>
  <w:style w:type="character" w:styleId="WW8Num2z0">
    <w:name w:val="WW8Num2z0"/>
    <w:qFormat/>
    <w:rPr>
      <w:rFonts w:ascii="Symbol" w:hAnsi="Symbol" w:cs="Symbol"/>
      <w:sz w:val="22"/>
    </w:rPr>
  </w:style>
  <w:style w:type="character" w:styleId="WW8Num3z0">
    <w:name w:val="WW8Num3z0"/>
    <w:qFormat/>
    <w:rPr>
      <w:rFonts w:ascii="Symbol" w:hAnsi="Symbol" w:cs="Symbol"/>
      <w:sz w:val="22"/>
    </w:rPr>
  </w:style>
  <w:style w:type="character" w:styleId="WW8Num4z0">
    <w:name w:val="WW8Num4z0"/>
    <w:qFormat/>
    <w:rPr>
      <w:rFonts w:ascii="Symbol" w:hAnsi="Symbol" w:cs="Symbol"/>
    </w:rPr>
  </w:style>
  <w:style w:type="character" w:styleId="WW8Num5z0">
    <w:name w:val="WW8Num5z0"/>
    <w:qFormat/>
    <w:rPr>
      <w:rFonts w:ascii="Symbol" w:hAnsi="Symbol" w:cs="Symbol"/>
      <w:sz w:val="22"/>
    </w:rPr>
  </w:style>
  <w:style w:type="character" w:styleId="WW8Num6z0">
    <w:name w:val="WW8Num6z0"/>
    <w:qFormat/>
    <w:rPr>
      <w:rFonts w:ascii="Symbol" w:hAnsi="Symbol" w:cs="Symbol"/>
      <w:sz w:val="22"/>
    </w:rPr>
  </w:style>
  <w:style w:type="character" w:styleId="WW8Num7z0">
    <w:name w:val="WW8Num7z0"/>
    <w:qFormat/>
    <w:rPr>
      <w:rFonts w:ascii="Symbol" w:hAnsi="Symbol" w:cs="Symbol"/>
    </w:rPr>
  </w:style>
  <w:style w:type="character" w:styleId="WW8Num8z0">
    <w:name w:val="WW8Num8z0"/>
    <w:qFormat/>
    <w:rPr>
      <w:rFonts w:ascii="Symbol" w:hAnsi="Symbol" w:cs="Symbol"/>
      <w:sz w:val="22"/>
    </w:rPr>
  </w:style>
  <w:style w:type="character" w:styleId="WW8Num9z0">
    <w:name w:val="WW8Num9z0"/>
    <w:qFormat/>
    <w:rPr>
      <w:rFonts w:ascii="Symbol" w:hAnsi="Symbol" w:cs="Symbol"/>
      <w:sz w:val="22"/>
    </w:rPr>
  </w:style>
  <w:style w:type="character" w:styleId="WW8Num10z0">
    <w:name w:val="WW8Num10z0"/>
    <w:qFormat/>
    <w:rPr>
      <w:rFonts w:ascii="Symbol" w:hAnsi="Symbol" w:cs="Symbol"/>
    </w:rPr>
  </w:style>
  <w:style w:type="character" w:styleId="WW8Num11z0">
    <w:name w:val="WW8Num11z0"/>
    <w:qFormat/>
    <w:rPr>
      <w:rFonts w:ascii="Symbol" w:hAnsi="Symbol" w:cs="Symbol"/>
      <w:sz w:val="22"/>
    </w:rPr>
  </w:style>
  <w:style w:type="character" w:styleId="WW8Num12z0">
    <w:name w:val="WW8Num12z0"/>
    <w:qFormat/>
    <w:rPr>
      <w:rFonts w:ascii="Symbol" w:hAnsi="Symbol" w:cs="Symbol"/>
      <w:sz w:val="22"/>
    </w:rPr>
  </w:style>
  <w:style w:type="character" w:styleId="WW8Num13z0">
    <w:name w:val="WW8Num13z0"/>
    <w:qFormat/>
    <w:rPr>
      <w:rFonts w:ascii="Symbol" w:hAnsi="Symbol" w:cs="Symbol"/>
      <w:sz w:val="22"/>
    </w:rPr>
  </w:style>
  <w:style w:type="character" w:styleId="WW8Num14z0">
    <w:name w:val="WW8Num14z0"/>
    <w:qFormat/>
    <w:rPr>
      <w:rFonts w:ascii="Symbol" w:hAnsi="Symbol" w:cs="Symbol"/>
    </w:rPr>
  </w:style>
  <w:style w:type="character" w:styleId="WW8Num15z0">
    <w:name w:val="WW8Num15z0"/>
    <w:qFormat/>
    <w:rPr>
      <w:rFonts w:ascii="Symbol" w:hAnsi="Symbol" w:cs="Symbol"/>
      <w:sz w:val="22"/>
    </w:rPr>
  </w:style>
  <w:style w:type="character" w:styleId="WW8Num16z0">
    <w:name w:val="WW8Num16z0"/>
    <w:qFormat/>
    <w:rPr>
      <w:rFonts w:ascii="Symbol" w:hAnsi="Symbol" w:cs="Symbol"/>
      <w:sz w:val="22"/>
    </w:rPr>
  </w:style>
  <w:style w:type="character" w:styleId="WW8Num17z0">
    <w:name w:val="WW8Num17z0"/>
    <w:qFormat/>
    <w:rPr>
      <w:rFonts w:ascii="Symbol" w:hAnsi="Symbol" w:cs="Symbol"/>
      <w:sz w:val="22"/>
    </w:rPr>
  </w:style>
  <w:style w:type="character" w:styleId="WW8Num18z0">
    <w:name w:val="WW8Num18z0"/>
    <w:qFormat/>
    <w:rPr>
      <w:rFonts w:ascii="Symbol" w:hAnsi="Symbol" w:cs="Symbol"/>
      <w:sz w:val="22"/>
    </w:rPr>
  </w:style>
  <w:style w:type="character" w:styleId="WW8Num19z0">
    <w:name w:val="WW8Num19z0"/>
    <w:qFormat/>
    <w:rPr>
      <w:rFonts w:ascii="Wingdings" w:hAnsi="Wingdings" w:cs="Wingdings"/>
      <w:sz w:val="44"/>
    </w:rPr>
  </w:style>
  <w:style w:type="character" w:styleId="WW8Num20z0">
    <w:name w:val="WW8Num20z0"/>
    <w:qFormat/>
    <w:rPr>
      <w:rFonts w:ascii="Symbol" w:hAnsi="Symbol" w:cs="Symbol"/>
    </w:rPr>
  </w:style>
  <w:style w:type="character" w:styleId="WW8Num21z0">
    <w:name w:val="WW8Num21z0"/>
    <w:qFormat/>
    <w:rPr>
      <w:rFonts w:ascii="Symbol" w:hAnsi="Symbol" w:cs="Symbol"/>
      <w:sz w:val="22"/>
    </w:rPr>
  </w:style>
  <w:style w:type="character" w:styleId="WW8Num22z0">
    <w:name w:val="WW8Num22z0"/>
    <w:qFormat/>
    <w:rPr>
      <w:rFonts w:ascii="Symbol" w:hAnsi="Symbol" w:cs="Symbol"/>
      <w:sz w:val="22"/>
    </w:rPr>
  </w:style>
  <w:style w:type="character" w:styleId="WW8Num23z0">
    <w:name w:val="WW8Num23z0"/>
    <w:qFormat/>
    <w:rPr>
      <w:rFonts w:ascii="Symbol" w:hAnsi="Symbol" w:cs="Symbol"/>
    </w:rPr>
  </w:style>
  <w:style w:type="character" w:styleId="WW8Num24z0">
    <w:name w:val="WW8Num24z0"/>
    <w:qFormat/>
    <w:rPr>
      <w:rFonts w:ascii="Symbol" w:hAnsi="Symbol" w:cs="Symbol"/>
      <w:sz w:val="22"/>
    </w:rPr>
  </w:style>
  <w:style w:type="character" w:styleId="WW8Num25z0">
    <w:name w:val="WW8Num25z0"/>
    <w:qFormat/>
    <w:rPr>
      <w:rFonts w:ascii="Symbol" w:hAnsi="Symbol" w:cs="Symbol"/>
      <w:sz w:val="22"/>
    </w:rPr>
  </w:style>
  <w:style w:type="character" w:styleId="WW8Num26z0">
    <w:name w:val="WW8Num26z0"/>
    <w:qFormat/>
    <w:rPr>
      <w:rFonts w:ascii="Symbol" w:hAnsi="Symbol" w:cs="Symbol"/>
    </w:rPr>
  </w:style>
  <w:style w:type="character" w:styleId="WW8Num27z0">
    <w:name w:val="WW8Num27z0"/>
    <w:qFormat/>
    <w:rPr>
      <w:rFonts w:ascii="Symbol" w:hAnsi="Symbol" w:cs="Symbol"/>
      <w:sz w:val="22"/>
    </w:rPr>
  </w:style>
  <w:style w:type="character" w:styleId="WW8Num28z0">
    <w:name w:val="WW8Num28z0"/>
    <w:qFormat/>
    <w:rPr>
      <w:rFonts w:ascii="Symbol" w:hAnsi="Symbol" w:cs="Symbol"/>
      <w:sz w:val="22"/>
    </w:rPr>
  </w:style>
  <w:style w:type="character" w:styleId="WW8Num29z0">
    <w:name w:val="WW8Num29z0"/>
    <w:qFormat/>
    <w:rPr>
      <w:rFonts w:ascii="Symbol" w:hAnsi="Symbol" w:cs="Symbol"/>
    </w:rPr>
  </w:style>
  <w:style w:type="character" w:styleId="WW8Num30z0">
    <w:name w:val="WW8Num30z0"/>
    <w:qFormat/>
    <w:rPr>
      <w:rFonts w:ascii="Symbol" w:hAnsi="Symbol" w:cs="Symbol"/>
      <w:sz w:val="22"/>
    </w:rPr>
  </w:style>
  <w:style w:type="character" w:styleId="WW8Num31z0">
    <w:name w:val="WW8Num31z0"/>
    <w:qFormat/>
    <w:rPr>
      <w:rFonts w:ascii="Symbol" w:hAnsi="Symbol" w:cs="Symbol"/>
      <w:sz w:val="22"/>
    </w:rPr>
  </w:style>
  <w:style w:type="character" w:styleId="WW8Num32z0">
    <w:name w:val="WW8Num32z0"/>
    <w:qFormat/>
    <w:rPr>
      <w:rFonts w:ascii="Symbol" w:hAnsi="Symbol" w:cs="Symbol"/>
      <w:sz w:val="22"/>
    </w:rPr>
  </w:style>
  <w:style w:type="character" w:styleId="WW8Num33z0">
    <w:name w:val="WW8Num33z0"/>
    <w:qFormat/>
    <w:rPr>
      <w:rFonts w:ascii="Symbol" w:hAnsi="Symbol" w:cs="Symbol"/>
      <w:sz w:val="22"/>
    </w:rPr>
  </w:style>
  <w:style w:type="character" w:styleId="WW8Num34z0">
    <w:name w:val="WW8Num34z0"/>
    <w:qFormat/>
    <w:rPr>
      <w:rFonts w:ascii="Symbol" w:hAnsi="Symbol" w:cs="Symbol"/>
      <w:sz w:val="22"/>
    </w:rPr>
  </w:style>
  <w:style w:type="character" w:styleId="WW8Num35z0">
    <w:name w:val="WW8Num35z0"/>
    <w:qFormat/>
    <w:rPr>
      <w:rFonts w:ascii="Symbol" w:hAnsi="Symbol" w:cs="Symbol"/>
      <w:sz w:val="22"/>
    </w:rPr>
  </w:style>
  <w:style w:type="character" w:styleId="WW8Num36z0">
    <w:name w:val="WW8Num36z0"/>
    <w:qFormat/>
    <w:rPr>
      <w:rFonts w:ascii="Symbol" w:hAnsi="Symbol" w:cs="Symbol"/>
      <w:sz w:val="22"/>
    </w:rPr>
  </w:style>
  <w:style w:type="character" w:styleId="WW8Num37z0">
    <w:name w:val="WW8Num37z0"/>
    <w:qFormat/>
    <w:rPr>
      <w:rFonts w:ascii="Symbol" w:hAnsi="Symbol" w:cs="Symbol"/>
      <w:sz w:val="22"/>
    </w:rPr>
  </w:style>
  <w:style w:type="character" w:styleId="WW8Num38z0">
    <w:name w:val="WW8Num38z0"/>
    <w:qFormat/>
    <w:rPr>
      <w:rFonts w:ascii="Symbol" w:hAnsi="Symbol" w:cs="Symbol"/>
      <w:sz w:val="22"/>
    </w:rPr>
  </w:style>
  <w:style w:type="character" w:styleId="WW8Num39z0">
    <w:name w:val="WW8Num39z0"/>
    <w:qFormat/>
    <w:rPr>
      <w:rFonts w:ascii="Symbol" w:hAnsi="Symbol" w:cs="Symbol"/>
    </w:rPr>
  </w:style>
  <w:style w:type="character" w:styleId="WW8Num40z0">
    <w:name w:val="WW8Num40z0"/>
    <w:qFormat/>
    <w:rPr>
      <w:rFonts w:ascii="Symbol" w:hAnsi="Symbol" w:cs="Symbol"/>
      <w:sz w:val="22"/>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sz w:val="22"/>
    </w:rPr>
  </w:style>
  <w:style w:type="character" w:styleId="WW8Num44z0">
    <w:name w:val="WW8Num44z0"/>
    <w:qFormat/>
    <w:rPr>
      <w:rFonts w:ascii="Symbol" w:hAnsi="Symbol" w:cs="Symbol"/>
      <w:sz w:val="22"/>
    </w:rPr>
  </w:style>
  <w:style w:type="character" w:styleId="WW8Num45z0">
    <w:name w:val="WW8Num45z0"/>
    <w:qFormat/>
    <w:rPr>
      <w:rFonts w:ascii="Symbol" w:hAnsi="Symbol" w:cs="Symbol"/>
    </w:rPr>
  </w:style>
  <w:style w:type="character" w:styleId="WW8Num46z0">
    <w:name w:val="WW8Num46z0"/>
    <w:qFormat/>
    <w:rPr>
      <w:rFonts w:ascii="Symbol" w:hAnsi="Symbol" w:cs="Symbol"/>
      <w:sz w:val="22"/>
    </w:rPr>
  </w:style>
  <w:style w:type="character" w:styleId="WW8Num47z0">
    <w:name w:val="WW8Num47z0"/>
    <w:qFormat/>
    <w:rPr>
      <w:rFonts w:ascii="Symbol" w:hAnsi="Symbol" w:cs="Symbol"/>
      <w:sz w:val="22"/>
    </w:rPr>
  </w:style>
  <w:style w:type="character" w:styleId="WW8Num48z0">
    <w:name w:val="WW8Num48z0"/>
    <w:qFormat/>
    <w:rPr>
      <w:rFonts w:ascii="Symbol" w:hAnsi="Symbol" w:cs="Symbol"/>
    </w:rPr>
  </w:style>
  <w:style w:type="character" w:styleId="WW8Num49z0">
    <w:name w:val="WW8Num49z0"/>
    <w:qFormat/>
    <w:rPr>
      <w:rFonts w:ascii="Symbol" w:hAnsi="Symbol" w:cs="Symbol"/>
      <w:sz w:val="22"/>
    </w:rPr>
  </w:style>
  <w:style w:type="character" w:styleId="WW8Num50z0">
    <w:name w:val="WW8Num50z0"/>
    <w:qFormat/>
    <w:rPr>
      <w:rFonts w:ascii="Symbol" w:hAnsi="Symbol" w:cs="Symbol"/>
      <w:sz w:val="22"/>
    </w:rPr>
  </w:style>
  <w:style w:type="character" w:styleId="WW8Num51z0">
    <w:name w:val="WW8Num51z0"/>
    <w:qFormat/>
    <w:rPr>
      <w:rFonts w:ascii="Symbol" w:hAnsi="Symbol" w:cs="Symbol"/>
      <w:sz w:val="22"/>
    </w:rPr>
  </w:style>
  <w:style w:type="character" w:styleId="WW8Num52z0">
    <w:name w:val="WW8Num52z0"/>
    <w:qFormat/>
    <w:rPr>
      <w:rFonts w:ascii="Symbol" w:hAnsi="Symbol" w:cs="Symbol"/>
      <w:sz w:val="22"/>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sz w:val="22"/>
    </w:rPr>
  </w:style>
  <w:style w:type="character" w:styleId="WW8Num58z0">
    <w:name w:val="WW8Num58z0"/>
    <w:qFormat/>
    <w:rPr>
      <w:rFonts w:ascii="Symbol" w:hAnsi="Symbol" w:cs="Symbol"/>
    </w:rPr>
  </w:style>
  <w:style w:type="character" w:styleId="WW8Num59z0">
    <w:name w:val="WW8Num59z0"/>
    <w:qFormat/>
    <w:rPr>
      <w:rFonts w:ascii="Symbol" w:hAnsi="Symbol" w:cs="Symbol"/>
      <w:sz w:val="22"/>
    </w:rPr>
  </w:style>
  <w:style w:type="character" w:styleId="WW8Num60z0">
    <w:name w:val="WW8Num6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2001-06-21T18:13:00Z</dcterms:created>
  <dc:creator>Elizabeth Negrón</dc:creator>
  <dc:description/>
  <dc:language>en-CA</dc:language>
  <cp:lastModifiedBy>Elizabeth Negrón</cp:lastModifiedBy>
  <cp:lastPrinted>2000-10-20T10:11:00Z</cp:lastPrinted>
  <dcterms:modified xsi:type="dcterms:W3CDTF">2001-06-21T18:44:00Z</dcterms:modified>
  <cp:revision>5</cp:revision>
  <dc:subject/>
  <dc:title>PUERTO RICO WEEKLY UPDATE</dc:title>
</cp:coreProperties>
</file>