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   </w:t>
      </w:r>
    </w:p>
    <w:p>
      <w:pPr>
        <w:pStyle w:val="Heading"/>
        <w:rPr/>
      </w:pPr>
      <w:r>
        <w:rPr/>
        <w:t>PUERTO RICO WEEKLY UPDATE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April 19, 2001             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double" w:sz="4" w:space="1" w:color="000000"/>
          <w:bottom w:val="double" w:sz="4" w:space="1" w:color="000000"/>
        </w:pBdr>
        <w:jc w:val="center"/>
        <w:rPr>
          <w:b/>
          <w:sz w:val="24"/>
        </w:rPr>
      </w:pPr>
      <w:r>
        <w:rPr>
          <w:b/>
          <w:sz w:val="24"/>
        </w:rPr>
        <w:t>PROCARIBE</w:t>
      </w:r>
    </w:p>
    <w:p>
      <w:pPr>
        <w:pStyle w:val="Normal"/>
        <w:pBdr>
          <w:top w:val="double" w:sz="4" w:space="1" w:color="000000"/>
          <w:bottom w:val="double" w:sz="4" w:space="1" w:color="000000"/>
        </w:pBdr>
        <w:jc w:val="center"/>
        <w:rPr>
          <w:sz w:val="24"/>
        </w:rPr>
      </w:pPr>
      <w:r>
        <w:rPr>
          <w:sz w:val="24"/>
        </w:rPr>
        <w:t>23,000 MT Refrigerated LPG Terminal in Peñuelas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both"/>
        <w:rPr/>
      </w:pPr>
      <w:r>
        <w:rPr>
          <w:sz w:val="22"/>
        </w:rPr>
        <w:t xml:space="preserve">Inventory Level </w:t>
      </w:r>
      <w:r>
        <w:rPr>
          <w:b w:val="false"/>
          <w:sz w:val="22"/>
        </w:rPr>
        <w:t>EcoEléctrica – 3,890,936 gals.</w:t>
      </w:r>
    </w:p>
    <w:p>
      <w:pPr>
        <w:pStyle w:val="Normal"/>
        <w:jc w:val="both"/>
        <w:rPr/>
      </w:pPr>
      <w:r>
        <w:rPr>
          <w:b/>
          <w:sz w:val="22"/>
        </w:rPr>
        <w:tab/>
        <w:tab/>
        <w:t xml:space="preserve">  </w:t>
      </w:r>
      <w:r>
        <w:rPr>
          <w:sz w:val="22"/>
        </w:rPr>
        <w:t>ProCaribe – 1,286,223 gals.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                            </w:t>
      </w:r>
      <w:r>
        <w:rPr>
          <w:sz w:val="22"/>
        </w:rPr>
        <w:t>Total Gallons –  5,177,159 gals.</w:t>
      </w:r>
    </w:p>
    <w:p>
      <w:pPr>
        <w:pStyle w:val="Normal"/>
        <w:ind w:start="720" w:end="0"/>
        <w:jc w:val="both"/>
        <w:rPr/>
      </w:pPr>
      <w:r>
        <w:rPr>
          <w:b/>
          <w:sz w:val="22"/>
        </w:rPr>
        <w:t>Sales Volume</w:t>
        <w:tab/>
      </w:r>
      <w:r>
        <w:rPr>
          <w:sz w:val="22"/>
        </w:rPr>
        <w:t>(gallons and % of budget)</w:t>
      </w:r>
    </w:p>
    <w:p>
      <w:pPr>
        <w:pStyle w:val="Normal"/>
        <w:jc w:val="both"/>
        <w:rPr/>
      </w:pPr>
      <w:r>
        <w:rPr>
          <w:b/>
          <w:sz w:val="22"/>
        </w:rPr>
        <w:tab/>
        <w:tab/>
        <w:t xml:space="preserve">               </w:t>
      </w:r>
      <w:r>
        <w:rPr>
          <w:sz w:val="22"/>
        </w:rPr>
        <w:t xml:space="preserve"> 323 M gals.,     71 %</w:t>
      </w:r>
    </w:p>
    <w:p>
      <w:pPr>
        <w:pStyle w:val="Normal"/>
        <w:jc w:val="both"/>
        <w:rPr/>
      </w:pPr>
      <w:r>
        <w:rPr>
          <w:b/>
          <w:sz w:val="22"/>
        </w:rPr>
        <w:t xml:space="preserve">Sales Revenue </w:t>
      </w:r>
      <w:r>
        <w:rPr>
          <w:sz w:val="22"/>
        </w:rPr>
        <w:t>($ and % of budget)</w:t>
      </w:r>
    </w:p>
    <w:p>
      <w:pPr>
        <w:pStyle w:val="Heading7"/>
        <w:ind w:hanging="0" w:start="0"/>
        <w:rPr>
          <w:b w:val="false"/>
          <w:sz w:val="22"/>
        </w:rPr>
      </w:pPr>
      <w:r>
        <w:rPr>
          <w:b w:val="false"/>
          <w:sz w:val="22"/>
        </w:rPr>
        <w:t xml:space="preserve">                             </w:t>
      </w:r>
      <w:r>
        <w:rPr>
          <w:b w:val="false"/>
          <w:sz w:val="22"/>
        </w:rPr>
        <w:t>$ 247       72%</w:t>
      </w:r>
    </w:p>
    <w:p>
      <w:pPr>
        <w:pStyle w:val="Heading7"/>
        <w:ind w:hanging="0" w:start="0"/>
        <w:rPr/>
      </w:pPr>
      <w:r>
        <w:rPr>
          <w:sz w:val="22"/>
        </w:rPr>
        <w:t xml:space="preserve">Accounts Receivable </w:t>
      </w:r>
      <w:r>
        <w:rPr>
          <w:b w:val="false"/>
          <w:sz w:val="22"/>
        </w:rPr>
        <w:t>($ collected, $ remaining, % of sales)</w:t>
      </w:r>
    </w:p>
    <w:p>
      <w:pPr>
        <w:pStyle w:val="Heading7"/>
        <w:ind w:hanging="0" w:start="0"/>
        <w:rPr/>
      </w:pPr>
      <w:r>
        <w:rPr>
          <w:b w:val="false"/>
          <w:sz w:val="22"/>
        </w:rPr>
        <w:t xml:space="preserve">   </w:t>
      </w:r>
      <w:r>
        <w:rPr>
          <w:b w:val="false"/>
          <w:sz w:val="22"/>
        </w:rPr>
        <w:tab/>
        <w:tab/>
        <w:t xml:space="preserve">             $ 311 M        $ 1.6 MM      81%       </w:t>
      </w:r>
      <w:r>
        <w:rPr>
          <w:sz w:val="22"/>
        </w:rPr>
        <w:tab/>
      </w:r>
    </w:p>
    <w:p>
      <w:pPr>
        <w:pStyle w:val="Heading2"/>
        <w:ind w:hanging="0" w:start="0"/>
        <w:jc w:val="both"/>
        <w:rPr/>
      </w:pPr>
      <w:r>
        <w:rPr/>
        <w:t xml:space="preserve">New this week                                 </w:t>
      </w:r>
    </w:p>
    <w:p>
      <w:pPr>
        <w:pStyle w:val="Normal"/>
        <w:numPr>
          <w:ilvl w:val="0"/>
          <w:numId w:val="5"/>
        </w:numPr>
        <w:rPr/>
      </w:pPr>
      <w:r>
        <w:rPr>
          <w:sz w:val="24"/>
        </w:rPr>
        <w:t>Volume low due to slow pick-ups by customers.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Transfer to EcoEléctrica.  LPG transfer stopped on 7-22-00 until further notice from EcoEléctrica.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Borrowed from EcoEléctrica 2,000 Mts as per our service agreement.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ISO 9000 Consultants in ProCaribe for three days.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8"/>
        <w:ind w:hanging="0" w:start="0"/>
        <w:rPr>
          <w:sz w:val="24"/>
        </w:rPr>
      </w:pPr>
      <w:r>
        <w:rPr>
          <w:sz w:val="24"/>
        </w:rPr>
      </w:r>
    </w:p>
    <w:p>
      <w:pPr>
        <w:pStyle w:val="Heading8"/>
        <w:ind w:hanging="0" w:start="0"/>
        <w:rPr/>
      </w:pPr>
      <w:r>
        <w:rPr/>
        <w:t>Visits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Frank Valderama – Enron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Ana María Vazquez – Clydesdale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Lourdes Melendez</w:t>
      </w:r>
    </w:p>
    <w:p>
      <w:pPr>
        <w:pStyle w:val="Heading2"/>
        <w:ind w:hanging="0" w:start="0"/>
        <w:jc w:val="both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jc w:val="both"/>
        <w:rPr/>
      </w:pPr>
      <w:r>
        <w:rPr/>
        <w:t>To do next week</w:t>
      </w:r>
    </w:p>
    <w:p>
      <w:pPr>
        <w:pStyle w:val="Heading8"/>
        <w:numPr>
          <w:ilvl w:val="0"/>
          <w:numId w:val="2"/>
        </w:numPr>
        <w:rPr>
          <w:b w:val="false"/>
          <w:u w:val="none"/>
        </w:rPr>
      </w:pPr>
      <w:r>
        <w:rPr>
          <w:b w:val="false"/>
          <w:u w:val="none"/>
        </w:rPr>
        <w:t>Possible transfer to EcoEléctrica by week end.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Miguel in conference Wellhead to Burner Tip.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ind w:hanging="0" w:start="0"/>
        <w:rPr/>
      </w:pPr>
      <w:r>
        <w:rPr/>
        <w:t>Milestone</w:t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 xml:space="preserve">None.                                                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</w:rPr>
      </w:pPr>
      <w:r>
        <w:rPr>
          <w:b/>
        </w:rPr>
        <w:t xml:space="preserve">                 </w:t>
      </w:r>
    </w:p>
    <w:sectPr>
      <w:type w:val="nextPage"/>
      <w:pgSz w:w="12240" w:h="15840"/>
      <w:pgMar w:left="1800" w:right="1800" w:gutter="0" w:header="0" w:top="99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both"/>
      <w:outlineLvl w:val="7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2"/>
    </w:rPr>
  </w:style>
  <w:style w:type="character" w:styleId="WW8Num6z0">
    <w:name w:val="WW8Num6z0"/>
    <w:qFormat/>
    <w:rPr>
      <w:rFonts w:ascii="Symbol" w:hAnsi="Symbol" w:cs="Symbol"/>
      <w:sz w:val="22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22"/>
    </w:rPr>
  </w:style>
  <w:style w:type="character" w:styleId="WW8Num9z0">
    <w:name w:val="WW8Num9z0"/>
    <w:qFormat/>
    <w:rPr>
      <w:rFonts w:ascii="Symbol" w:hAnsi="Symbol" w:cs="Symbol"/>
      <w:sz w:val="22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22"/>
    </w:rPr>
  </w:style>
  <w:style w:type="character" w:styleId="WW8Num12z0">
    <w:name w:val="WW8Num12z0"/>
    <w:qFormat/>
    <w:rPr>
      <w:rFonts w:ascii="Symbol" w:hAnsi="Symbol" w:cs="Symbol"/>
      <w:sz w:val="22"/>
    </w:rPr>
  </w:style>
  <w:style w:type="character" w:styleId="WW8Num13z0">
    <w:name w:val="WW8Num13z0"/>
    <w:qFormat/>
    <w:rPr>
      <w:rFonts w:ascii="Symbol" w:hAnsi="Symbol" w:cs="Symbol"/>
      <w:sz w:val="22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</w:rPr>
  </w:style>
  <w:style w:type="character" w:styleId="WW8Num16z0">
    <w:name w:val="WW8Num16z0"/>
    <w:qFormat/>
    <w:rPr>
      <w:rFonts w:ascii="Symbol" w:hAnsi="Symbol" w:cs="Symbol"/>
      <w:sz w:val="22"/>
    </w:rPr>
  </w:style>
  <w:style w:type="character" w:styleId="WW8Num17z0">
    <w:name w:val="WW8Num17z0"/>
    <w:qFormat/>
    <w:rPr>
      <w:rFonts w:ascii="Symbol" w:hAnsi="Symbol" w:cs="Symbol"/>
      <w:sz w:val="22"/>
    </w:rPr>
  </w:style>
  <w:style w:type="character" w:styleId="WW8Num18z0">
    <w:name w:val="WW8Num18z0"/>
    <w:qFormat/>
    <w:rPr>
      <w:rFonts w:ascii="Symbol" w:hAnsi="Symbol" w:cs="Symbol"/>
      <w:sz w:val="22"/>
    </w:rPr>
  </w:style>
  <w:style w:type="character" w:styleId="WW8Num19z0">
    <w:name w:val="WW8Num19z0"/>
    <w:qFormat/>
    <w:rPr>
      <w:rFonts w:ascii="Wingdings" w:hAnsi="Wingdings" w:cs="Wingdings"/>
      <w:sz w:val="44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  <w:sz w:val="22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  <w:sz w:val="22"/>
    </w:rPr>
  </w:style>
  <w:style w:type="character" w:styleId="WW8Num24z0">
    <w:name w:val="WW8Num24z0"/>
    <w:qFormat/>
    <w:rPr>
      <w:rFonts w:ascii="Symbol" w:hAnsi="Symbol" w:cs="Symbol"/>
      <w:sz w:val="22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  <w:sz w:val="22"/>
    </w:rPr>
  </w:style>
  <w:style w:type="character" w:styleId="WW8Num27z0">
    <w:name w:val="WW8Num27z0"/>
    <w:qFormat/>
    <w:rPr>
      <w:rFonts w:ascii="Symbol" w:hAnsi="Symbol" w:cs="Symbol"/>
      <w:sz w:val="22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  <w:sz w:val="22"/>
    </w:rPr>
  </w:style>
  <w:style w:type="character" w:styleId="WW8Num30z0">
    <w:name w:val="WW8Num30z0"/>
    <w:qFormat/>
    <w:rPr>
      <w:rFonts w:ascii="Symbol" w:hAnsi="Symbol" w:cs="Symbol"/>
      <w:sz w:val="22"/>
    </w:rPr>
  </w:style>
  <w:style w:type="character" w:styleId="WW8Num31z0">
    <w:name w:val="WW8Num31z0"/>
    <w:qFormat/>
    <w:rPr>
      <w:rFonts w:ascii="Symbol" w:hAnsi="Symbol" w:cs="Symbol"/>
      <w:sz w:val="22"/>
    </w:rPr>
  </w:style>
  <w:style w:type="character" w:styleId="WW8Num32z0">
    <w:name w:val="WW8Num32z0"/>
    <w:qFormat/>
    <w:rPr>
      <w:rFonts w:ascii="Symbol" w:hAnsi="Symbol" w:cs="Symbol"/>
      <w:sz w:val="22"/>
    </w:rPr>
  </w:style>
  <w:style w:type="character" w:styleId="WW8Num33z0">
    <w:name w:val="WW8Num33z0"/>
    <w:qFormat/>
    <w:rPr>
      <w:rFonts w:ascii="Symbol" w:hAnsi="Symbol" w:cs="Symbol"/>
      <w:sz w:val="22"/>
    </w:rPr>
  </w:style>
  <w:style w:type="character" w:styleId="WW8Num34z0">
    <w:name w:val="WW8Num34z0"/>
    <w:qFormat/>
    <w:rPr>
      <w:rFonts w:ascii="Symbol" w:hAnsi="Symbol" w:cs="Symbol"/>
      <w:sz w:val="22"/>
    </w:rPr>
  </w:style>
  <w:style w:type="character" w:styleId="WW8Num35z0">
    <w:name w:val="WW8Num35z0"/>
    <w:qFormat/>
    <w:rPr>
      <w:rFonts w:ascii="Symbol" w:hAnsi="Symbol" w:cs="Symbol"/>
      <w:sz w:val="22"/>
    </w:rPr>
  </w:style>
  <w:style w:type="character" w:styleId="WW8Num36z0">
    <w:name w:val="WW8Num36z0"/>
    <w:qFormat/>
    <w:rPr>
      <w:rFonts w:ascii="Symbol" w:hAnsi="Symbol" w:cs="Symbol"/>
      <w:sz w:val="22"/>
    </w:rPr>
  </w:style>
  <w:style w:type="character" w:styleId="WW8Num37z0">
    <w:name w:val="WW8Num37z0"/>
    <w:qFormat/>
    <w:rPr>
      <w:rFonts w:ascii="Symbol" w:hAnsi="Symbol" w:cs="Symbol"/>
      <w:sz w:val="22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  <w:sz w:val="22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  <w:sz w:val="22"/>
    </w:rPr>
  </w:style>
  <w:style w:type="character" w:styleId="WW8Num42z0">
    <w:name w:val="WW8Num42z0"/>
    <w:qFormat/>
    <w:rPr>
      <w:rFonts w:ascii="Symbol" w:hAnsi="Symbol" w:cs="Symbol"/>
      <w:sz w:val="22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  <w:sz w:val="22"/>
    </w:rPr>
  </w:style>
  <w:style w:type="character" w:styleId="WW8Num45z0">
    <w:name w:val="WW8Num45z0"/>
    <w:qFormat/>
    <w:rPr>
      <w:rFonts w:ascii="Symbol" w:hAnsi="Symbol" w:cs="Symbol"/>
      <w:sz w:val="22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  <w:sz w:val="22"/>
    </w:rPr>
  </w:style>
  <w:style w:type="character" w:styleId="WW8Num48z0">
    <w:name w:val="WW8Num48z0"/>
    <w:qFormat/>
    <w:rPr>
      <w:rFonts w:ascii="Symbol" w:hAnsi="Symbol" w:cs="Symbol"/>
      <w:sz w:val="22"/>
    </w:rPr>
  </w:style>
  <w:style w:type="character" w:styleId="WW8Num49z0">
    <w:name w:val="WW8Num49z0"/>
    <w:qFormat/>
    <w:rPr>
      <w:rFonts w:ascii="Symbol" w:hAnsi="Symbol" w:cs="Symbol"/>
      <w:sz w:val="22"/>
    </w:rPr>
  </w:style>
  <w:style w:type="character" w:styleId="WW8Num50z0">
    <w:name w:val="WW8Num50z0"/>
    <w:qFormat/>
    <w:rPr>
      <w:rFonts w:ascii="Symbol" w:hAnsi="Symbol" w:cs="Symbol"/>
      <w:sz w:val="22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  <w:sz w:val="22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2001-04-19T20:02:00Z</dcterms:created>
  <dc:creator>Elizabeth Negrón</dc:creator>
  <dc:description/>
  <dc:language>en-CA</dc:language>
  <cp:lastModifiedBy>Elizabeth Negrón</cp:lastModifiedBy>
  <cp:lastPrinted>2000-10-20T10:11:00Z</cp:lastPrinted>
  <dcterms:modified xsi:type="dcterms:W3CDTF">2001-04-19T20:02:00Z</dcterms:modified>
  <cp:revision>2</cp:revision>
  <dc:subject/>
  <dc:title>PUERTO RICO WEEKLY UPDATE</dc:title>
</cp:coreProperties>
</file>