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r>
    </w:p>
    <w:p>
      <w:pPr>
        <w:pStyle w:val="Normal"/>
        <w:ind w:firstLine="720" w:start="5040" w:end="0"/>
        <w:rPr>
          <w:rFonts w:ascii="Times New Roman" w:hAnsi="Times New Roman" w:cs="Times New Roman"/>
          <w:smallCaps/>
        </w:rPr>
      </w:pPr>
      <w:r>
        <w:rPr>
          <w:rFonts w:cs="Times New Roman"/>
          <w:smallCaps/>
        </w:rPr>
      </w:r>
    </w:p>
    <w:p>
      <w:pPr>
        <w:pStyle w:val="Normal"/>
        <w:ind w:firstLine="720" w:start="5040" w:end="0"/>
        <w:rPr/>
      </w:pPr>
      <w:r>
        <w:rPr/>
      </w:r>
    </w:p>
    <w:p>
      <w:pPr>
        <w:pStyle w:val="Normal"/>
        <w:ind w:firstLine="720" w:start="5040" w:end="0"/>
        <w:rPr/>
      </w:pPr>
      <w:r>
        <w:rPr/>
      </w:r>
    </w:p>
    <w:p>
      <w:pPr>
        <w:pStyle w:val="Normal"/>
        <w:ind w:firstLine="720" w:start="5040" w:end="0"/>
        <w:rPr/>
      </w:pPr>
      <w:r>
        <w:rPr/>
        <w:t>September 19, 2001</w:t>
      </w:r>
    </w:p>
    <w:p>
      <w:pPr>
        <w:pStyle w:val="Normal"/>
        <w:rPr/>
      </w:pPr>
      <w:r>
        <w:rPr/>
      </w:r>
    </w:p>
    <w:p>
      <w:pPr>
        <w:pStyle w:val="Normal"/>
        <w:rPr/>
      </w:pPr>
      <w:r>
        <w:rPr/>
      </w:r>
    </w:p>
    <w:p>
      <w:pPr>
        <w:pStyle w:val="Normal"/>
        <w:rPr/>
      </w:pPr>
      <w:r>
        <w:rPr/>
        <w:t xml:space="preserve">Honorable Loretta Lynch, President </w:t>
      </w:r>
    </w:p>
    <w:p>
      <w:pPr>
        <w:pStyle w:val="Normal"/>
        <w:rPr/>
      </w:pPr>
      <w:r>
        <w:rPr/>
        <w:t>California Public Utilities Commission</w:t>
      </w:r>
    </w:p>
    <w:p>
      <w:pPr>
        <w:pStyle w:val="Normal"/>
        <w:rPr/>
      </w:pPr>
      <w:r>
        <w:rPr/>
        <w:t>505 Van Ness Avenue</w:t>
      </w:r>
    </w:p>
    <w:p>
      <w:pPr>
        <w:pStyle w:val="Normal"/>
        <w:rPr/>
      </w:pPr>
      <w:r>
        <w:rPr/>
        <w:t>San Francisco, CA  94102-3298</w:t>
      </w:r>
    </w:p>
    <w:p>
      <w:pPr>
        <w:pStyle w:val="Normal"/>
        <w:rPr/>
      </w:pPr>
      <w:r>
        <w:rPr/>
      </w:r>
    </w:p>
    <w:p>
      <w:pPr>
        <w:pStyle w:val="Normal"/>
        <w:rPr/>
      </w:pPr>
      <w:r>
        <w:rPr/>
      </w:r>
    </w:p>
    <w:p>
      <w:pPr>
        <w:pStyle w:val="BodyTextIndent"/>
        <w:rPr/>
      </w:pPr>
      <w:r>
        <w:rPr/>
        <w:t>SUBJECT:  REQUEST TO POSTPONE COMMISSION CONSIDERATION OF DWR-RELATED DRAFT DECISIONS  (A. 00-11-038, A. 00-11-056, A. 00-10-028)</w:t>
      </w:r>
    </w:p>
    <w:p>
      <w:pPr>
        <w:pStyle w:val="Normal"/>
        <w:rPr/>
      </w:pPr>
      <w:r>
        <w:rPr/>
      </w:r>
    </w:p>
    <w:p>
      <w:pPr>
        <w:pStyle w:val="Normal"/>
        <w:ind w:hanging="1440" w:start="1440" w:end="0"/>
        <w:rPr>
          <w:b/>
        </w:rPr>
      </w:pPr>
      <w:r>
        <w:rPr>
          <w:b/>
        </w:rPr>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t>The undersigned organizations, representing thousands of small and large California businesses, strongly urge you to suspend consideration of the draft decisions concerning the DWR rate agreement until you have gathered further information in a public forum concerning the consequences of these decisions.</w:t>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t>We believe two exigent circumstances justify postponement of these decisions.</w:t>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r>
    </w:p>
    <w:p>
      <w:pPr>
        <w:pStyle w:val="EnvelopeReturn"/>
        <w:numPr>
          <w:ilvl w:val="0"/>
          <w:numId w:val="3"/>
        </w:numPr>
        <w:rPr>
          <w:rFonts w:ascii="Times New Roman" w:hAnsi="Times New Roman" w:cs="Times New Roman"/>
          <w:caps w:val="false"/>
          <w:smallCaps w:val="false"/>
        </w:rPr>
      </w:pPr>
      <w:r>
        <w:rPr>
          <w:rFonts w:cs="Times New Roman" w:ascii="Times New Roman" w:hAnsi="Times New Roman"/>
          <w:caps w:val="false"/>
          <w:smallCaps w:val="false"/>
        </w:rPr>
        <w:t>The Governor is currently considering Senate Bill 18 X2, passed by two-thirds of the members of the Senate and Assembly, which would directly affect the rate agreement you are now considering.  As you know, the bill would strengthen assurances that the General Fund would be repaid and require the PUC to review (though not control) the basis of DWR’s rate requirement to assure that what is purchased is necessary, fairly priced and will not unduly burden the state’s economy.  We believe it would be prudent to await the Governor’s action before making what could be an irreversible decision.</w:t>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r>
    </w:p>
    <w:p>
      <w:pPr>
        <w:pStyle w:val="EnvelopeReturn"/>
        <w:numPr>
          <w:ilvl w:val="0"/>
          <w:numId w:val="3"/>
        </w:numPr>
        <w:rPr>
          <w:rFonts w:ascii="Times New Roman" w:hAnsi="Times New Roman" w:cs="Times New Roman"/>
          <w:caps w:val="false"/>
          <w:smallCaps w:val="false"/>
        </w:rPr>
      </w:pPr>
      <w:r>
        <w:rPr>
          <w:rFonts w:cs="Times New Roman" w:ascii="Times New Roman" w:hAnsi="Times New Roman"/>
          <w:caps w:val="false"/>
          <w:smallCaps w:val="false"/>
        </w:rPr>
        <w:t>The State Treasurer has recently stated in a public filing that there is no rush to put into place the revenue bonds to repay the state General Fund.  According to the Treasurer’s August 31, 2001, Preliminary Official Statement, funds on hand and projected revenues “appear to be sufficient to finance the Power Supply Program.”  This new information reduces the need to hurry your approval and itself suggests the need to provide additional independent oversight of the Department’s Power Supply Program and the revenues it says it needs.</w:t>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r>
    </w:p>
    <w:p>
      <w:pPr>
        <w:pStyle w:val="EnvelopeReturn"/>
        <w:rPr>
          <w:rFonts w:ascii="Times New Roman" w:hAnsi="Times New Roman" w:cs="Times New Roman"/>
          <w:caps w:val="false"/>
          <w:smallCaps w:val="false"/>
        </w:rPr>
      </w:pPr>
      <w:r>
        <w:rPr>
          <w:rFonts w:cs="Times New Roman" w:ascii="Times New Roman" w:hAnsi="Times New Roman"/>
          <w:caps w:val="false"/>
          <w:smallCaps w:val="false"/>
        </w:rPr>
        <w:t>Finally, providing an opportunity to fully air the Department’s purchases, revenue requirements, and anticipated cash flow requirements over the life of the bonds and the forward contracts will provide you with better information with which to determine how and when to maintain and expand the direct access and customer generation activities, which are vital elements to maintain and enhance the State’s economy and jobs climate.</w:t>
      </w:r>
    </w:p>
    <w:p>
      <w:pPr>
        <w:pStyle w:val="Normal"/>
        <w:rPr>
          <w:rFonts w:ascii="Times New Roman" w:hAnsi="Times New Roman" w:cs="Times New Roman"/>
          <w:smallCaps/>
        </w:rPr>
      </w:pPr>
      <w:r>
        <w:rPr>
          <w:rFonts w:cs="Times New Roman"/>
          <w:smallCaps/>
        </w:rPr>
      </w:r>
      <w:r>
        <w:br w:type="page"/>
      </w:r>
    </w:p>
    <w:p>
      <w:pPr>
        <w:pStyle w:val="Normal"/>
        <w:rPr/>
      </w:pPr>
      <w:r>
        <w:rPr/>
        <w:t>Hon. Loretta Lynch</w:t>
      </w:r>
    </w:p>
    <w:p>
      <w:pPr>
        <w:pStyle w:val="Normal"/>
        <w:rPr/>
      </w:pPr>
      <w:r>
        <w:rPr/>
        <w:t>September 19, 2001</w:t>
      </w:r>
    </w:p>
    <w:p>
      <w:pPr>
        <w:pStyle w:val="Normal"/>
        <w:rPr/>
      </w:pPr>
      <w:r>
        <w:rPr/>
        <w:t>Page two</w:t>
      </w:r>
    </w:p>
    <w:p>
      <w:pPr>
        <w:pStyle w:val="Normal"/>
        <w:rPr/>
      </w:pPr>
      <w:r>
        <w:rPr/>
      </w:r>
    </w:p>
    <w:p>
      <w:pPr>
        <w:pStyle w:val="Normal"/>
        <w:rPr/>
      </w:pPr>
      <w:r>
        <w:rPr/>
      </w:r>
    </w:p>
    <w:p>
      <w:pPr>
        <w:pStyle w:val="Normal"/>
        <w:rPr/>
      </w:pPr>
      <w:r>
        <w:rPr/>
        <w:t xml:space="preserve">Thank you for your consideration of this request.  If you have any questions, we can make ourselves available to further discuss these matters. </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ind w:firstLine="720" w:start="5040" w:end="0"/>
        <w:rPr/>
      </w:pPr>
      <w:r>
        <w:rPr/>
      </w:r>
    </w:p>
    <w:p>
      <w:pPr>
        <w:pStyle w:val="Normal"/>
        <w:ind w:firstLine="720" w:start="5040" w:end="0"/>
        <w:rPr/>
      </w:pPr>
      <w:r>
        <w:rPr/>
      </w:r>
    </w:p>
    <w:p>
      <w:pPr>
        <w:sectPr>
          <w:footerReference w:type="default" r:id="rId2"/>
          <w:footerReference w:type="first" r:id="rId3"/>
          <w:type w:val="nextPage"/>
          <w:pgSz w:w="12240" w:h="15840"/>
          <w:pgMar w:left="1296" w:right="1296" w:gutter="0" w:header="0" w:top="1008" w:footer="720" w:bottom="1296"/>
          <w:pgNumType w:fmt="decimal"/>
          <w:formProt w:val="false"/>
          <w:titlePg/>
          <w:textDirection w:val="lrTb"/>
          <w:docGrid w:type="default" w:linePitch="360" w:charSpace="0"/>
        </w:sectPr>
      </w:pPr>
    </w:p>
    <w:p>
      <w:pPr>
        <w:pStyle w:val="Normal"/>
        <w:rPr/>
      </w:pPr>
      <w:r>
        <w:rPr/>
        <w:t>____________________________________</w:t>
      </w:r>
    </w:p>
    <w:p>
      <w:pPr>
        <w:pStyle w:val="Normal"/>
        <w:rPr/>
      </w:pPr>
      <w:r>
        <w:rPr/>
        <w:t xml:space="preserve">California Chamber of Commerce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w:t>
      </w:r>
    </w:p>
    <w:p>
      <w:pPr>
        <w:pStyle w:val="Normal"/>
        <w:rPr/>
      </w:pPr>
      <w:r>
        <w:rPr/>
        <w:t>California Business Roundtable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w:t>
      </w:r>
    </w:p>
    <w:p>
      <w:pPr>
        <w:pStyle w:val="Normal"/>
        <w:rPr/>
      </w:pPr>
      <w:r>
        <w:rPr/>
        <w:t>California Retailers Association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w:t>
      </w:r>
    </w:p>
    <w:p>
      <w:pPr>
        <w:pStyle w:val="Normal"/>
        <w:rPr/>
      </w:pPr>
      <w:r>
        <w:rPr/>
        <w:t>California Large Energy Consumers Association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w:t>
      </w:r>
    </w:p>
    <w:p>
      <w:pPr>
        <w:pStyle w:val="Normal"/>
        <w:rPr/>
      </w:pPr>
      <w:r>
        <w:rPr/>
        <w:t>Silicon Valley Manufacturing Group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w:t>
      </w:r>
    </w:p>
    <w:p>
      <w:pPr>
        <w:pStyle w:val="Normal"/>
        <w:rPr/>
      </w:pPr>
      <w:r>
        <w:rPr/>
        <w:t>California Manufacturing and Technology Association</w:t>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w:t>
      </w:r>
    </w:p>
    <w:p>
      <w:pPr>
        <w:pStyle w:val="Normal"/>
        <w:rPr/>
      </w:pPr>
      <w:r>
        <w:rPr/>
        <w:t xml:space="preserve">Western States Petroleum Association </w:t>
      </w:r>
    </w:p>
    <w:p>
      <w:pPr>
        <w:pStyle w:val="Normal"/>
        <w:rPr/>
      </w:pPr>
      <w:r>
        <w:rPr/>
      </w:r>
    </w:p>
    <w:p>
      <w:pPr>
        <w:pStyle w:val="Normal"/>
        <w:rPr/>
      </w:pPr>
      <w:r>
        <w:rPr/>
      </w:r>
    </w:p>
    <w:p>
      <w:pPr>
        <w:pStyle w:val="Normal"/>
        <w:rPr/>
      </w:pPr>
      <w:r>
        <w:rPr/>
      </w:r>
    </w:p>
    <w:sectPr>
      <w:type w:val="continuous"/>
      <w:pgSz w:w="12240" w:h="15840"/>
      <w:pgMar w:left="1296" w:right="1296" w:gutter="0" w:header="0" w:top="1008" w:footer="720" w:bottom="1296"/>
      <w:cols w:num="2" w:equalWidth="false" w:sep="false">
        <w:col w:w="4374" w:space="810"/>
        <w:col w:w="4464"/>
      </w:cols>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40.6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sz w:val="24"/>
        <w:rFonts w:ascii="Times New Roman" w:hAnsi="Times New Roman" w:cs="Times New Roman"/>
      </w:rPr>
    </w:lvl>
    <w:lvl w:ilvl="1">
      <w:start w:val="1"/>
      <w:numFmt w:val="lowerLetter"/>
      <w:lvlText w:val="%2."/>
      <w:lvlJc w:val="start"/>
      <w:pPr>
        <w:tabs>
          <w:tab w:val="num" w:pos="1800"/>
        </w:tabs>
        <w:ind w:start="0" w:firstLine="1440"/>
      </w:pPr>
      <w:rPr>
        <w:sz w:val="24"/>
        <w:rFonts w:ascii="Times New Roman" w:hAnsi="Times New Roman" w:cs="Times New Roman"/>
      </w:rPr>
    </w:lvl>
    <w:lvl w:ilvl="2">
      <w:start w:val="1"/>
      <w:numFmt w:val="lowerRoman"/>
      <w:lvlText w:val="%3."/>
      <w:lvlJc w:val="start"/>
      <w:pPr>
        <w:tabs>
          <w:tab w:val="num" w:pos="2160"/>
        </w:tabs>
        <w:ind w:start="0" w:firstLine="144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440"/>
        </w:tabs>
        <w:ind w:start="1440" w:hanging="720"/>
      </w:pPr>
      <w:rPr>
        <w:sz w:val="24"/>
        <w:rFonts w:ascii="Times New Roman" w:hAnsi="Times New Roman" w:cs="Times New Roman"/>
      </w:rPr>
    </w:lvl>
    <w:lvl w:ilvl="1">
      <w:start w:val="1"/>
      <w:numFmt w:val="lowerLetter"/>
      <w:lvlText w:val="%2."/>
      <w:lvlJc w:val="start"/>
      <w:pPr>
        <w:tabs>
          <w:tab w:val="num" w:pos="2160"/>
        </w:tabs>
        <w:ind w:start="2160" w:hanging="720"/>
      </w:pPr>
      <w:rPr>
        <w:sz w:val="24"/>
        <w:rFonts w:ascii="Times New Roman" w:hAnsi="Times New Roman" w:cs="Times New Roman"/>
      </w:rPr>
    </w:lvl>
    <w:lvl w:ilvl="2">
      <w:start w:val="1"/>
      <w:numFmt w:val="lowerRoman"/>
      <w:lvlText w:val="%3."/>
      <w:lvlJc w:val="start"/>
      <w:pPr>
        <w:tabs>
          <w:tab w:val="num" w:pos="2880"/>
        </w:tabs>
        <w:ind w:start="2880" w:hanging="72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1."/>
      <w:lvlJc w:val="start"/>
      <w:pPr>
        <w:tabs>
          <w:tab w:val="num" w:pos="1440"/>
        </w:tabs>
        <w:ind w:start="1440" w:hanging="720"/>
      </w:pPr>
      <w:rPr>
        <w:sz w:val="24"/>
        <w:rFonts w:ascii="Times New Roman" w:hAnsi="Times New Roman" w:cs="Times New Roman"/>
      </w:rPr>
    </w:lvl>
    <w:lvl w:ilvl="1">
      <w:start w:val="1"/>
      <w:numFmt w:val="lowerLetter"/>
      <w:lvlText w:val="%2."/>
      <w:lvlJc w:val="start"/>
      <w:pPr>
        <w:tabs>
          <w:tab w:val="num" w:pos="2160"/>
        </w:tabs>
        <w:ind w:start="2160" w:hanging="720"/>
      </w:pPr>
      <w:rPr>
        <w:sz w:val="24"/>
        <w:rFonts w:ascii="Times New Roman" w:hAnsi="Times New Roman" w:cs="Times New Roman"/>
      </w:rPr>
    </w:lvl>
    <w:lvl w:ilvl="2">
      <w:start w:val="1"/>
      <w:numFmt w:val="lowerRoman"/>
      <w:lvlText w:val="%3."/>
      <w:lvlJc w:val="start"/>
      <w:pPr>
        <w:tabs>
          <w:tab w:val="num" w:pos="2880"/>
        </w:tabs>
        <w:ind w:start="0" w:firstLine="216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upperRoman"/>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lowerLetter"/>
      <w:lvlText w:val="%4."/>
      <w:lvlJc w:val="start"/>
      <w:pPr>
        <w:tabs>
          <w:tab w:val="num" w:pos="2880"/>
        </w:tabs>
        <w:ind w:start="2880" w:hanging="720"/>
      </w:pPr>
    </w:lvl>
    <w:lvl w:ilvl="4">
      <w:start w:val="1"/>
      <w:numFmt w:val="lowerRoman"/>
      <w:lvlText w:val="%5."/>
      <w:lvlJc w:val="start"/>
      <w:pPr>
        <w:tabs>
          <w:tab w:val="num" w:pos="3600"/>
        </w:tabs>
        <w:ind w:start="360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7">
    <w:lvl w:ilvl="0">
      <w:start w:val="1"/>
      <w:numFmt w:val="decimal"/>
      <w:lvlText w:val="%1."/>
      <w:lvlJc w:val="start"/>
      <w:pPr>
        <w:tabs>
          <w:tab w:val="num" w:pos="1080"/>
        </w:tabs>
        <w:ind w:start="0" w:firstLine="720"/>
      </w:pPr>
      <w:rPr>
        <w:sz w:val="24"/>
        <w:rFonts w:ascii="Times New Roman" w:hAnsi="Times New Roman" w:cs="Times New Roman"/>
      </w:rPr>
    </w:lvl>
    <w:lvl w:ilvl="1">
      <w:start w:val="1"/>
      <w:numFmt w:val="lowerLetter"/>
      <w:lvlText w:val="%2."/>
      <w:lvlJc w:val="start"/>
      <w:pPr>
        <w:tabs>
          <w:tab w:val="num" w:pos="1080"/>
        </w:tabs>
        <w:ind w:start="0" w:firstLine="720"/>
      </w:pPr>
      <w:rPr>
        <w:sz w:val="24"/>
        <w:rFonts w:ascii="Times New Roman" w:hAnsi="Times New Roman" w:cs="Times New Roman"/>
      </w:rPr>
    </w:lvl>
    <w:lvl w:ilvl="2">
      <w:start w:val="1"/>
      <w:numFmt w:val="lowerRoman"/>
      <w:lvlText w:val="%3."/>
      <w:lvlJc w:val="start"/>
      <w:pPr>
        <w:tabs>
          <w:tab w:val="num" w:pos="2880"/>
        </w:tabs>
        <w:ind w:start="0" w:firstLine="2160"/>
      </w:pPr>
      <w:rPr>
        <w:sz w:val="24"/>
        <w:rFonts w:ascii="Times New Roman" w:hAnsi="Times New Roman" w:cs="Times New Roman"/>
      </w:r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i/>
      <w:u w:val="single"/>
    </w:rPr>
  </w:style>
  <w:style w:type="character" w:styleId="WW8Num1z0">
    <w:name w:val="WW8Num1z0"/>
    <w:qFormat/>
    <w:rPr>
      <w:rFonts w:ascii="Times New Roman" w:hAnsi="Times New Roman" w:cs="Times New Roman"/>
      <w:sz w:val="24"/>
    </w:rPr>
  </w:style>
  <w:style w:type="character" w:styleId="WW8Num6z0">
    <w:name w:val="WW8Num6z0"/>
    <w:qFormat/>
    <w:rPr>
      <w:rFonts w:ascii="Times New Roman" w:hAnsi="Times New Roman" w:cs="Times New Roman"/>
      <w:sz w:val="24"/>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rFonts w:ascii="Times New Roman" w:hAnsi="Times New Roman" w:cs="Times New Roman"/>
      <w:sz w:val="24"/>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21z0">
    <w:name w:val="WW8Num21z0"/>
    <w:qFormat/>
    <w:rPr>
      <w:rFonts w:ascii="Times New Roman" w:hAnsi="Times New Roman" w:cs="Times New Roman"/>
      <w:sz w:val="24"/>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end="0"/>
    </w:pPr>
    <w:rPr/>
  </w:style>
  <w:style w:type="paragraph" w:styleId="EnvelopeReturn">
    <w:name w:val="envelope return"/>
    <w:basedOn w:val="Normal"/>
    <w:pPr/>
    <w:rPr>
      <w:rFonts w:ascii="Univers (W1);Arial" w:hAnsi="Univers (W1);Arial" w:cs="Univers (W1);Arial"/>
      <w:smallCaps/>
    </w:rPr>
  </w:style>
  <w:style w:type="paragraph" w:styleId="Declar1">
    <w:name w:val="Declar. 1"/>
    <w:basedOn w:val="Normal"/>
    <w:qFormat/>
    <w:pPr>
      <w:widowControl w:val="false"/>
      <w:numPr>
        <w:ilvl w:val="0"/>
        <w:numId w:val="2"/>
      </w:numPr>
      <w:spacing w:before="0" w:after="240"/>
      <w:outlineLvl w:val="0"/>
    </w:pPr>
    <w:rPr/>
  </w:style>
  <w:style w:type="paragraph" w:styleId="Declar2">
    <w:name w:val="Declar. 2"/>
    <w:basedOn w:val="Declar1"/>
    <w:qFormat/>
    <w:pPr>
      <w:numPr>
        <w:ilvl w:val="0"/>
        <w:numId w:val="7"/>
      </w:numPr>
      <w:outlineLvl w:val="1"/>
    </w:pPr>
    <w:rPr/>
  </w:style>
  <w:style w:type="paragraph" w:styleId="Declar3">
    <w:name w:val="Declar. 3"/>
    <w:basedOn w:val="Declar2"/>
    <w:qFormat/>
    <w:pPr>
      <w:numPr>
        <w:ilvl w:val="0"/>
        <w:numId w:val="2"/>
      </w:numPr>
      <w:outlineLvl w:val="2"/>
    </w:pPr>
    <w:rPr/>
  </w:style>
  <w:style w:type="paragraph" w:styleId="DeclarIndent1">
    <w:name w:val="Declar. Indent 1"/>
    <w:basedOn w:val="Normal"/>
    <w:qFormat/>
    <w:pPr>
      <w:numPr>
        <w:ilvl w:val="0"/>
        <w:numId w:val="5"/>
      </w:numPr>
      <w:spacing w:before="0" w:after="240"/>
    </w:pPr>
    <w:rPr/>
  </w:style>
  <w:style w:type="paragraph" w:styleId="DeclarIndent2">
    <w:name w:val="Declar. Indent 2"/>
    <w:basedOn w:val="DeclarIndent1"/>
    <w:qFormat/>
    <w:pPr>
      <w:numPr>
        <w:ilvl w:val="0"/>
        <w:numId w:val="4"/>
      </w:numPr>
      <w:outlineLvl w:val="1"/>
    </w:pPr>
    <w:rPr/>
  </w:style>
  <w:style w:type="paragraph" w:styleId="DeclarIndent3">
    <w:name w:val="Declar. Indent 3"/>
    <w:basedOn w:val="DeclarIndent2"/>
    <w:qFormat/>
    <w:pPr>
      <w:numPr>
        <w:ilvl w:val="0"/>
        <w:numId w:val="4"/>
      </w:numPr>
      <w:outlineLvl w:val="2"/>
    </w:pPr>
    <w:rPr/>
  </w:style>
  <w:style w:type="paragraph" w:styleId="OutlineLevel1">
    <w:name w:val="Outline Level 1"/>
    <w:basedOn w:val="Normal"/>
    <w:qFormat/>
    <w:pPr>
      <w:numPr>
        <w:ilvl w:val="0"/>
        <w:numId w:val="6"/>
      </w:numPr>
      <w:spacing w:before="0" w:after="240"/>
      <w:outlineLvl w:val="0"/>
    </w:pPr>
    <w:rPr/>
  </w:style>
  <w:style w:type="paragraph" w:styleId="OutlineLevel2">
    <w:name w:val="Outline Level 2"/>
    <w:basedOn w:val="OutlineLevel1"/>
    <w:qFormat/>
    <w:pPr>
      <w:numPr>
        <w:ilvl w:val="0"/>
        <w:numId w:val="6"/>
      </w:numPr>
      <w:outlineLvl w:val="1"/>
    </w:pPr>
    <w:rPr/>
  </w:style>
  <w:style w:type="paragraph" w:styleId="OutlineLevel3">
    <w:name w:val="Outline Level 3"/>
    <w:basedOn w:val="OutlineLevel2"/>
    <w:qFormat/>
    <w:pPr>
      <w:numPr>
        <w:ilvl w:val="0"/>
        <w:numId w:val="6"/>
      </w:numPr>
      <w:outlineLvl w:val="2"/>
    </w:pPr>
    <w:rPr/>
  </w:style>
  <w:style w:type="paragraph" w:styleId="OutlineLevel4">
    <w:name w:val="Outline Level 4"/>
    <w:basedOn w:val="OutlineLevel3"/>
    <w:qFormat/>
    <w:pPr>
      <w:numPr>
        <w:ilvl w:val="0"/>
        <w:numId w:val="6"/>
      </w:numPr>
      <w:outlineLvl w:val="3"/>
    </w:pPr>
    <w:rPr/>
  </w:style>
  <w:style w:type="paragraph" w:styleId="OutlineLevel5">
    <w:name w:val="Outline Level 5"/>
    <w:basedOn w:val="OutlineLevel4"/>
    <w:qFormat/>
    <w:pPr>
      <w:numPr>
        <w:ilvl w:val="0"/>
        <w:numId w:val="6"/>
      </w:numPr>
      <w:outlineLvl w:val="4"/>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b/>
      <w:i/>
      <w:u w:val="single"/>
    </w:rPr>
  </w:style>
  <w:style w:type="paragraph" w:styleId="BodyText3">
    <w:name w:val="Body Text 3"/>
    <w:basedOn w:val="Normal"/>
    <w:qFormat/>
    <w:pPr/>
    <w:rPr>
      <w:b/>
    </w:rPr>
  </w:style>
  <w:style w:type="paragraph" w:styleId="BodyTextIndent">
    <w:name w:val="Body Text Indent"/>
    <w:basedOn w:val="Normal"/>
    <w:pPr>
      <w:tabs>
        <w:tab w:val="clear" w:pos="720"/>
        <w:tab w:val="left" w:pos="2070" w:leader="none"/>
      </w:tabs>
      <w:ind w:hanging="1260" w:start="1260" w:end="0"/>
    </w:pPr>
    <w:rPr>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2001-09-19T20:25:00Z</dcterms:created>
  <dc:creator>wbooth</dc:creator>
  <dc:description/>
  <dc:language>en-CA</dc:language>
  <cp:lastModifiedBy>wbooth</cp:lastModifiedBy>
  <cp:lastPrinted>2001-09-19T14:56:00Z</cp:lastPrinted>
  <dcterms:modified xsi:type="dcterms:W3CDTF">2001-09-19T20:26:00Z</dcterms:modified>
  <cp:revision>3</cp:revision>
  <dc:subject/>
  <dc:title>July 27, 2001</dc:title>
</cp:coreProperties>
</file>