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 TALKING POINTS</w:t>
      </w:r>
    </w:p>
    <w:p>
      <w:pPr>
        <w:pStyle w:val="Normal"/>
        <w:jc w:val="center"/>
        <w:rPr/>
      </w:pPr>
      <w:r>
        <w:rPr/>
      </w:r>
    </w:p>
    <w:p>
      <w:pPr>
        <w:pStyle w:val="Heading1"/>
        <w:ind w:hanging="0" w:start="0"/>
        <w:rPr/>
      </w:pPr>
      <w:r>
        <w:rPr/>
        <w:t>Implementation of Direct Access</w:t>
      </w:r>
    </w:p>
    <w:p>
      <w:pPr>
        <w:pStyle w:val="Normal"/>
        <w:numPr>
          <w:ilvl w:val="0"/>
          <w:numId w:val="6"/>
        </w:numPr>
        <w:tabs>
          <w:tab w:val="clear" w:pos="720"/>
        </w:tabs>
        <w:ind w:hanging="360" w:start="360" w:end="0"/>
        <w:rPr/>
      </w:pPr>
      <w:r>
        <w:rPr/>
        <w:t>Be consistent with positions developed and proposed by ARM, e.g.,</w:t>
      </w:r>
    </w:p>
    <w:p>
      <w:pPr>
        <w:pStyle w:val="Normal"/>
        <w:numPr>
          <w:ilvl w:val="0"/>
          <w:numId w:val="5"/>
        </w:numPr>
        <w:tabs>
          <w:tab w:val="clear" w:pos="720"/>
        </w:tabs>
        <w:ind w:hanging="360" w:start="720" w:end="0"/>
        <w:rPr/>
      </w:pPr>
      <w:r>
        <w:rPr/>
        <w:t>Generally, allow contracting parties to roam freely within the four corners of the contract (i.e., PG&amp;E’s proposal that any contract amendment constitutes new DA is simply bunk—amendments to things like price, etc. occur in the normal course of business and must be allowed)</w:t>
      </w:r>
    </w:p>
    <w:p>
      <w:pPr>
        <w:pStyle w:val="Normal"/>
        <w:numPr>
          <w:ilvl w:val="0"/>
          <w:numId w:val="5"/>
        </w:numPr>
        <w:tabs>
          <w:tab w:val="clear" w:pos="720"/>
        </w:tabs>
        <w:ind w:hanging="360" w:start="720" w:end="0"/>
        <w:rPr/>
      </w:pPr>
      <w:r>
        <w:rPr/>
        <w:t>Allow inter-ESP contracting to serve customers</w:t>
      </w:r>
    </w:p>
    <w:p>
      <w:pPr>
        <w:pStyle w:val="Normal"/>
        <w:numPr>
          <w:ilvl w:val="0"/>
          <w:numId w:val="5"/>
        </w:numPr>
        <w:tabs>
          <w:tab w:val="clear" w:pos="720"/>
        </w:tabs>
        <w:ind w:hanging="360" w:start="720" w:end="0"/>
        <w:rPr/>
      </w:pPr>
      <w:r>
        <w:rPr/>
        <w:t xml:space="preserve">Allow ESP-to-ESPcontract assignment, </w:t>
      </w:r>
    </w:p>
    <w:p>
      <w:pPr>
        <w:pStyle w:val="Normal"/>
        <w:numPr>
          <w:ilvl w:val="0"/>
          <w:numId w:val="5"/>
        </w:numPr>
        <w:tabs>
          <w:tab w:val="clear" w:pos="720"/>
        </w:tabs>
        <w:ind w:hanging="360" w:start="720" w:end="0"/>
        <w:rPr/>
      </w:pPr>
      <w:r>
        <w:rPr/>
        <w:t>Allow customers to add additional sites if contract permits</w:t>
      </w:r>
    </w:p>
    <w:p>
      <w:pPr>
        <w:pStyle w:val="Normal"/>
        <w:numPr>
          <w:ilvl w:val="0"/>
          <w:numId w:val="5"/>
        </w:numPr>
        <w:tabs>
          <w:tab w:val="clear" w:pos="720"/>
        </w:tabs>
        <w:ind w:hanging="360" w:start="720" w:end="0"/>
        <w:rPr/>
      </w:pPr>
      <w:r>
        <w:rPr/>
        <w:t>Allow DA customers to migrate between utility service territories</w:t>
      </w:r>
    </w:p>
    <w:p>
      <w:pPr>
        <w:pStyle w:val="Normal"/>
        <w:numPr>
          <w:ilvl w:val="0"/>
          <w:numId w:val="5"/>
        </w:numPr>
        <w:tabs>
          <w:tab w:val="clear" w:pos="720"/>
        </w:tabs>
        <w:ind w:hanging="360" w:start="720" w:end="0"/>
        <w:rPr/>
      </w:pPr>
      <w:r>
        <w:rPr/>
        <w:t>All contract renewals</w:t>
      </w:r>
    </w:p>
    <w:p>
      <w:pPr>
        <w:pStyle w:val="Normal"/>
        <w:numPr>
          <w:ilvl w:val="0"/>
          <w:numId w:val="5"/>
        </w:numPr>
        <w:tabs>
          <w:tab w:val="clear" w:pos="720"/>
        </w:tabs>
        <w:ind w:hanging="360" w:start="720" w:end="0"/>
        <w:rPr/>
      </w:pPr>
      <w:r>
        <w:rPr/>
        <w:t>UDCs will not examine ESP-customer contracts</w:t>
      </w:r>
    </w:p>
    <w:p>
      <w:pPr>
        <w:pStyle w:val="Normal"/>
        <w:numPr>
          <w:ilvl w:val="0"/>
          <w:numId w:val="6"/>
        </w:numPr>
        <w:tabs>
          <w:tab w:val="clear" w:pos="720"/>
        </w:tabs>
        <w:ind w:hanging="360" w:start="360" w:end="0"/>
        <w:rPr/>
      </w:pPr>
      <w:r>
        <w:rPr/>
        <w:t>Moving back suspension date from September 20</w:t>
      </w:r>
      <w:r>
        <w:rPr>
          <w:vertAlign w:val="superscript"/>
        </w:rPr>
        <w:t>th</w:t>
      </w:r>
      <w:r>
        <w:rPr/>
        <w:t xml:space="preserve"> is a non-starter.</w:t>
      </w:r>
    </w:p>
    <w:p>
      <w:pPr>
        <w:pStyle w:val="Normal"/>
        <w:numPr>
          <w:ilvl w:val="0"/>
          <w:numId w:val="6"/>
        </w:numPr>
        <w:tabs>
          <w:tab w:val="clear" w:pos="720"/>
        </w:tabs>
        <w:ind w:hanging="360" w:start="360" w:end="0"/>
        <w:rPr/>
      </w:pPr>
      <w:r>
        <w:rPr/>
        <w:t>Any assertions that DA has resulted in cost-shifting are just that—assertions—and require hearings before the Commission makes any definitive findings or conclusions.</w:t>
      </w:r>
    </w:p>
    <w:p>
      <w:pPr>
        <w:pStyle w:val="Normal"/>
        <w:numPr>
          <w:ilvl w:val="0"/>
          <w:numId w:val="6"/>
        </w:numPr>
        <w:tabs>
          <w:tab w:val="clear" w:pos="720"/>
        </w:tabs>
        <w:ind w:hanging="360" w:start="360" w:end="0"/>
        <w:rPr/>
      </w:pPr>
      <w:r>
        <w:rPr/>
        <w:t>Those hearings must include the effect of all load reducing activities, including conservation and demand-side management, which the state explicitly encouraged.</w:t>
      </w:r>
    </w:p>
    <w:p>
      <w:pPr>
        <w:pStyle w:val="Normal"/>
        <w:numPr>
          <w:ilvl w:val="0"/>
          <w:numId w:val="6"/>
        </w:numPr>
        <w:tabs>
          <w:tab w:val="clear" w:pos="720"/>
        </w:tabs>
        <w:ind w:hanging="360" w:start="360" w:end="0"/>
        <w:rPr/>
      </w:pPr>
      <w:r>
        <w:rPr/>
        <w:t>Hearings, hearings, hearings.</w:t>
      </w:r>
    </w:p>
    <w:p>
      <w:pPr>
        <w:pStyle w:val="Normal"/>
        <w:rPr/>
      </w:pPr>
      <w:r>
        <w:rPr/>
      </w:r>
    </w:p>
    <w:p>
      <w:pPr>
        <w:pStyle w:val="BodyText"/>
        <w:rPr/>
      </w:pPr>
      <w:r>
        <w:rPr/>
        <w:t>Responsibility for costs associated with utility undercollection, state funds used to buy power on behalf of the utilities, and contracts entered into by DWR</w:t>
      </w:r>
    </w:p>
    <w:p>
      <w:pPr>
        <w:pStyle w:val="Normal"/>
        <w:numPr>
          <w:ilvl w:val="0"/>
          <w:numId w:val="2"/>
        </w:numPr>
        <w:tabs>
          <w:tab w:val="clear" w:pos="720"/>
        </w:tabs>
        <w:ind w:hanging="360" w:start="360" w:end="0"/>
        <w:rPr/>
      </w:pPr>
      <w:r>
        <w:rPr/>
        <w:t>DA customers are not and should not be responsible for Edison’s undercollection</w:t>
      </w:r>
    </w:p>
    <w:p>
      <w:pPr>
        <w:pStyle w:val="Normal"/>
        <w:numPr>
          <w:ilvl w:val="0"/>
          <w:numId w:val="3"/>
        </w:numPr>
        <w:tabs>
          <w:tab w:val="clear" w:pos="720"/>
        </w:tabs>
        <w:ind w:hanging="360" w:start="720" w:end="0"/>
        <w:rPr/>
      </w:pPr>
      <w:r>
        <w:rPr/>
        <w:t>In most cases Edison devised the structure, and at a minimum freely entered into it.</w:t>
      </w:r>
    </w:p>
    <w:p>
      <w:pPr>
        <w:pStyle w:val="Normal"/>
        <w:numPr>
          <w:ilvl w:val="0"/>
          <w:numId w:val="3"/>
        </w:numPr>
        <w:tabs>
          <w:tab w:val="clear" w:pos="720"/>
        </w:tabs>
        <w:ind w:hanging="360" w:start="720" w:end="0"/>
        <w:rPr/>
      </w:pPr>
      <w:r>
        <w:rPr/>
        <w:t>Under the structure, Edison agreed that:</w:t>
      </w:r>
    </w:p>
    <w:p>
      <w:pPr>
        <w:pStyle w:val="Normal"/>
        <w:numPr>
          <w:ilvl w:val="0"/>
          <w:numId w:val="3"/>
        </w:numPr>
        <w:tabs>
          <w:tab w:val="clear" w:pos="720"/>
        </w:tabs>
        <w:ind w:hanging="360" w:start="720" w:end="0"/>
        <w:rPr/>
      </w:pPr>
      <w:r>
        <w:rPr/>
        <w:t>If prices fell below the strike (the frozen rate), Edison would benefit greatly by significantly accelerating the paydown of gen assets on their balance sheet.</w:t>
      </w:r>
    </w:p>
    <w:p>
      <w:pPr>
        <w:pStyle w:val="Normal"/>
        <w:numPr>
          <w:ilvl w:val="0"/>
          <w:numId w:val="3"/>
        </w:numPr>
        <w:tabs>
          <w:tab w:val="clear" w:pos="720"/>
        </w:tabs>
        <w:ind w:hanging="360" w:start="720" w:end="0"/>
        <w:rPr/>
      </w:pPr>
      <w:r>
        <w:rPr/>
        <w:t>If prices exceeded the strike, Edison shareholders would bear the risk.</w:t>
      </w:r>
    </w:p>
    <w:p>
      <w:pPr>
        <w:pStyle w:val="Normal"/>
        <w:numPr>
          <w:ilvl w:val="0"/>
          <w:numId w:val="3"/>
        </w:numPr>
        <w:tabs>
          <w:tab w:val="clear" w:pos="720"/>
        </w:tabs>
        <w:ind w:hanging="360" w:start="720" w:end="0"/>
        <w:rPr/>
      </w:pPr>
      <w:r>
        <w:rPr/>
        <w:t>In this way, Edison shouldered the risk of procurement for its bundled customers, and DA customers and their ESPs (through contract terms) shouldered the risk of procurement for DA service.</w:t>
      </w:r>
    </w:p>
    <w:p>
      <w:pPr>
        <w:pStyle w:val="Normal"/>
        <w:numPr>
          <w:ilvl w:val="0"/>
          <w:numId w:val="3"/>
        </w:numPr>
        <w:tabs>
          <w:tab w:val="clear" w:pos="720"/>
        </w:tabs>
        <w:ind w:hanging="360" w:start="720" w:end="0"/>
        <w:rPr/>
      </w:pPr>
      <w:r>
        <w:rPr/>
        <w:t>Now Edison is attempting to capture the benefits of accelerated paydown of gen assets, but unfairly and inequitably transfer to DA customers the procurement risk associated with the situation in which prices exceeded the strike price.</w:t>
      </w:r>
    </w:p>
    <w:p>
      <w:pPr>
        <w:pStyle w:val="Normal"/>
        <w:numPr>
          <w:ilvl w:val="0"/>
          <w:numId w:val="3"/>
        </w:numPr>
        <w:tabs>
          <w:tab w:val="clear" w:pos="720"/>
        </w:tabs>
        <w:ind w:hanging="360" w:start="720" w:end="0"/>
        <w:rPr/>
      </w:pPr>
      <w:r>
        <w:rPr/>
        <w:t>In short, Edison wants DA customers to have shouldered their procurement risk, and now, unilaterally and retroactively, Edison wants to shift the risk—and the costs—of their procurement risk onto DA customers.</w:t>
      </w:r>
    </w:p>
    <w:p>
      <w:pPr>
        <w:pStyle w:val="Normal"/>
        <w:numPr>
          <w:ilvl w:val="0"/>
          <w:numId w:val="3"/>
        </w:numPr>
        <w:tabs>
          <w:tab w:val="clear" w:pos="720"/>
        </w:tabs>
        <w:ind w:hanging="360" w:start="720" w:end="0"/>
        <w:rPr/>
      </w:pPr>
      <w:r>
        <w:rPr/>
        <w:t>In short, they’re asking DA customers to pay twice, and that’s unfair and inequitable.</w:t>
      </w:r>
    </w:p>
    <w:p>
      <w:pPr>
        <w:pStyle w:val="Normal"/>
        <w:numPr>
          <w:ilvl w:val="0"/>
          <w:numId w:val="3"/>
        </w:numPr>
        <w:tabs>
          <w:tab w:val="clear" w:pos="720"/>
        </w:tabs>
        <w:ind w:hanging="360" w:start="720" w:end="0"/>
        <w:rPr/>
      </w:pPr>
      <w:r>
        <w:rPr/>
        <w:t>Customers are willing to pay for any power purchased on their behalf by Edison during the undercollection period, no more less (i.e., during the time that the now-DA customer was a then-bundled customer)</w:t>
      </w:r>
    </w:p>
    <w:p>
      <w:pPr>
        <w:pStyle w:val="Normal"/>
        <w:numPr>
          <w:ilvl w:val="0"/>
          <w:numId w:val="3"/>
        </w:numPr>
        <w:tabs>
          <w:tab w:val="clear" w:pos="720"/>
        </w:tabs>
        <w:ind w:hanging="360" w:start="720" w:end="0"/>
        <w:rPr/>
      </w:pPr>
      <w:r>
        <w:rPr/>
        <w:t>But Edison’s proposal is unfair, inequitable and unacceptable.</w:t>
      </w:r>
    </w:p>
    <w:p>
      <w:pPr>
        <w:pStyle w:val="Normal"/>
        <w:numPr>
          <w:ilvl w:val="0"/>
          <w:numId w:val="4"/>
        </w:numPr>
        <w:tabs>
          <w:tab w:val="clear" w:pos="720"/>
        </w:tabs>
        <w:ind w:hanging="360" w:start="360" w:end="0"/>
        <w:rPr/>
      </w:pPr>
      <w:r>
        <w:rPr/>
        <w:t>Hearings, hearings, hearings.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Wingdings" w:hAnsi="Wingdings" w:cs="Wingdings" w:hint="default"/>
      </w:rPr>
    </w:lvl>
  </w:abstractNum>
  <w:abstractNum w:abstractNumId="3">
    <w:lvl w:ilvl="0">
      <w:start w:val="1"/>
      <w:numFmt w:val="bullet"/>
      <w:lvlText w:val=""/>
      <w:lvlJc w:val="start"/>
      <w:pPr>
        <w:tabs>
          <w:tab w:val="num" w:pos="1872"/>
        </w:tabs>
        <w:ind w:start="1872" w:hanging="432"/>
      </w:pPr>
      <w:rPr>
        <w:rFonts w:ascii="Wingdings" w:hAnsi="Wingdings" w:cs="Wingdings" w:hint="default"/>
      </w:rPr>
    </w:lvl>
  </w:abstractNum>
  <w:abstractNum w:abstractNumId="4">
    <w:lvl w:ilvl="0">
      <w:start w:val="1"/>
      <w:numFmt w:val="bullet"/>
      <w:lvlText w:val=""/>
      <w:lvlJc w:val="start"/>
      <w:pPr>
        <w:tabs>
          <w:tab w:val="num" w:pos="1800"/>
        </w:tabs>
        <w:ind w:start="1800" w:hanging="360"/>
      </w:pPr>
      <w:rPr>
        <w:rFonts w:ascii="Wingdings" w:hAnsi="Wingdings" w:cs="Wingdings" w:hint="default"/>
      </w:rPr>
    </w:lvl>
  </w:abstractNum>
  <w:abstractNum w:abstractNumId="5">
    <w:lvl w:ilvl="0">
      <w:start w:val="1"/>
      <w:numFmt w:val="bullet"/>
      <w:lvlText w:val=""/>
      <w:lvlJc w:val="start"/>
      <w:pPr>
        <w:tabs>
          <w:tab w:val="num" w:pos="1800"/>
        </w:tabs>
        <w:ind w:start="1800" w:hanging="360"/>
      </w:pPr>
      <w:rPr>
        <w:rFonts w:ascii="Wingdings" w:hAnsi="Wingdings" w:cs="Wingdings" w:hint="default"/>
      </w:rPr>
    </w:lvl>
  </w:abstractNum>
  <w:abstractNum w:abstractNumId="6">
    <w:lvl w:ilvl="0">
      <w:start w:val="1"/>
      <w:numFmt w:val="bullet"/>
      <w:lvlText w:val=""/>
      <w:lvlJc w:val="start"/>
      <w:pPr>
        <w:tabs>
          <w:tab w:val="num" w:pos="1800"/>
        </w:tabs>
        <w:ind w:start="180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i/>
      <w:iCs/>
    </w:rPr>
  </w:style>
  <w:style w:type="character" w:styleId="WW8Num1z0">
    <w:name w:val="WW8Num1z0"/>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rFonts w:ascii="Wingdings" w:hAnsi="Wingdings" w:cs="Wingdings"/>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3">
    <w:name w:val="WW8Num5z3"/>
    <w:qFormat/>
    <w:rPr>
      <w:rFonts w:ascii="Symbol" w:hAnsi="Symbol" w:cs="Symbol"/>
    </w:rPr>
  </w:style>
  <w:style w:type="character" w:styleId="WW8Num5z4">
    <w:name w:val="WW8Num5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rPr>
      <w:b/>
      <w:bCs/>
      <w:i/>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2001-11-07T13:41:00Z</dcterms:created>
  <dc:creator>jdasovic</dc:creator>
  <dc:description/>
  <dc:language>en-CA</dc:language>
  <cp:lastModifiedBy>jdasovic</cp:lastModifiedBy>
  <dcterms:modified xsi:type="dcterms:W3CDTF">2001-11-07T16:53:00Z</dcterms:modified>
  <cp:revision>3</cp:revision>
  <dc:subject/>
  <dc:title>TALKING POINTS</dc:title>
</cp:coreProperties>
</file>