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bCs w:val="false"/>
        </w:rPr>
      </w:pPr>
      <w:r>
        <w:rPr>
          <w:b w:val="false"/>
          <w:bCs w:val="false"/>
        </w:rPr>
      </w:r>
    </w:p>
    <w:p>
      <w:pPr>
        <w:pStyle w:val="Heading"/>
        <w:rPr>
          <w:b w:val="false"/>
          <w:bCs w:val="false"/>
        </w:rPr>
      </w:pPr>
      <w:r>
        <w:rPr>
          <w:b w:val="false"/>
          <w:bCs w:val="false"/>
        </w:rPr>
      </w:r>
    </w:p>
    <w:p>
      <w:pPr>
        <w:pStyle w:val="Subtitle"/>
        <w:rPr>
          <w:b w:val="false"/>
          <w:bCs w:val="false"/>
        </w:rPr>
      </w:pPr>
      <w:r>
        <w:rPr>
          <w:b w:val="false"/>
          <w:bCs w:val="false"/>
        </w:rPr>
        <w:t>Public Utility Commission Issue:</w:t>
        <w:tab/>
      </w:r>
    </w:p>
    <w:p>
      <w:pPr>
        <w:pStyle w:val="Subtitle"/>
        <w:rPr>
          <w:b w:val="false"/>
          <w:bCs w:val="false"/>
        </w:rPr>
      </w:pPr>
      <w:r>
        <w:rPr>
          <w:b w:val="false"/>
          <w:bCs w:val="false"/>
        </w:rPr>
      </w:r>
    </w:p>
    <w:p>
      <w:pPr>
        <w:pStyle w:val="Subtitle"/>
        <w:numPr>
          <w:ilvl w:val="0"/>
          <w:numId w:val="16"/>
        </w:numPr>
        <w:rPr>
          <w:b w:val="false"/>
          <w:bCs w:val="false"/>
        </w:rPr>
      </w:pPr>
      <w:r>
        <w:rPr>
          <w:b w:val="false"/>
          <w:bCs w:val="false"/>
        </w:rPr>
        <w:t>Are there any major deficiencies in the version of the Protocol to be implemented on June 1, 2001 that will result in a materially flawed market design?  If so, what measures should be put into place by June 1, 2001 including, if necessary; interim measures, to avoid any major problems upon the implementation of the Protocols?</w:t>
      </w:r>
    </w:p>
    <w:p>
      <w:pPr>
        <w:pStyle w:val="Subtitle"/>
        <w:numPr>
          <w:ilvl w:val="0"/>
          <w:numId w:val="16"/>
        </w:numPr>
        <w:rPr>
          <w:b w:val="false"/>
          <w:bCs w:val="false"/>
        </w:rPr>
      </w:pPr>
      <w:r>
        <w:rPr>
          <w:b w:val="false"/>
          <w:bCs w:val="false"/>
        </w:rPr>
        <w:t>Is there a potent ional for gaming in the resolution of Local Congestion and in the resolution of interzonal congestion prior to conversation to a dir4ect assignment of cost methodology?  If so, what measures should be taken to prevent gaming, including any interim measures?</w:t>
      </w:r>
    </w:p>
    <w:p>
      <w:pPr>
        <w:pStyle w:val="Subtitle"/>
        <w:numPr>
          <w:ilvl w:val="0"/>
          <w:numId w:val="16"/>
        </w:numPr>
        <w:rPr>
          <w:b w:val="false"/>
          <w:bCs w:val="false"/>
        </w:rPr>
      </w:pPr>
      <w:r>
        <w:rPr>
          <w:b w:val="false"/>
          <w:bCs w:val="false"/>
        </w:rPr>
        <w:t>What protections (including bid caps of price caps), if any, should be added to the protocol to avoid extreme price spikes?</w:t>
      </w:r>
    </w:p>
    <w:p>
      <w:pPr>
        <w:pStyle w:val="Subtitle"/>
        <w:numPr>
          <w:ilvl w:val="0"/>
          <w:numId w:val="16"/>
        </w:numPr>
        <w:rPr>
          <w:b w:val="false"/>
          <w:bCs w:val="false"/>
        </w:rPr>
      </w:pPr>
      <w:r>
        <w:rPr>
          <w:b w:val="false"/>
          <w:bCs w:val="false"/>
        </w:rPr>
        <w:t>Should ERCOT pay foe Ancillary Services using pay as bid (PAB) method rather than the market clearing price (MCP) methods?</w:t>
      </w:r>
    </w:p>
    <w:p>
      <w:pPr>
        <w:pStyle w:val="Subtitle"/>
        <w:numPr>
          <w:ilvl w:val="0"/>
          <w:numId w:val="16"/>
        </w:numPr>
        <w:rPr>
          <w:b w:val="false"/>
          <w:bCs w:val="false"/>
        </w:rPr>
      </w:pPr>
      <w:r>
        <w:rPr>
          <w:b w:val="false"/>
          <w:bCs w:val="false"/>
        </w:rPr>
        <w:t>Should ERCOT be given the responsibility to [plan and schedule Transmission Facility Outages, in order to optimize use of the ERCOT transmission grid?</w:t>
      </w:r>
    </w:p>
    <w:p>
      <w:pPr>
        <w:pStyle w:val="Subtitle"/>
        <w:numPr>
          <w:ilvl w:val="0"/>
          <w:numId w:val="16"/>
        </w:numPr>
        <w:rPr>
          <w:b w:val="false"/>
          <w:bCs w:val="false"/>
        </w:rPr>
      </w:pPr>
      <w:r>
        <w:rPr>
          <w:b w:val="false"/>
          <w:bCs w:val="false"/>
        </w:rPr>
        <w:t>Should ERCOT deploy Reliability Must Run (RMR) Units to provide Ancillary Services if doing so would be less costly than Market Solutions, instead of first relying on Market Solution as required by Protocols Section 6.7.8(1) (page 6-33)?</w:t>
      </w:r>
    </w:p>
    <w:p>
      <w:pPr>
        <w:pStyle w:val="Subtitle"/>
        <w:numPr>
          <w:ilvl w:val="0"/>
          <w:numId w:val="16"/>
        </w:numPr>
        <w:rPr>
          <w:b w:val="false"/>
          <w:bCs w:val="false"/>
        </w:rPr>
      </w:pPr>
      <w:r>
        <w:rPr>
          <w:b w:val="false"/>
          <w:bCs w:val="false"/>
        </w:rPr>
        <w:t>As technical matter, specifically what extent can the various types of Ancillary Services defined in the Protocol be substituted for one another?  Should ERCOT substitute certain types of Ancillary Services for others in circumstances where doing so will menimize its procurement costs?</w:t>
      </w:r>
    </w:p>
    <w:p>
      <w:pPr>
        <w:pStyle w:val="Subtitle"/>
        <w:numPr>
          <w:ilvl w:val="0"/>
          <w:numId w:val="16"/>
        </w:numPr>
        <w:rPr>
          <w:b w:val="false"/>
          <w:bCs w:val="false"/>
        </w:rPr>
      </w:pPr>
      <w:r>
        <w:rPr>
          <w:b w:val="false"/>
          <w:bCs w:val="false"/>
        </w:rPr>
        <w:t>How will ERCOT optimize its selection of Ancillary Services bids?  Will it optimize over the entire Day Ahead Period?  If not should it be required to do so?</w:t>
      </w:r>
    </w:p>
    <w:p>
      <w:pPr>
        <w:pStyle w:val="Subtitle"/>
        <w:numPr>
          <w:ilvl w:val="0"/>
          <w:numId w:val="16"/>
        </w:numPr>
        <w:rPr>
          <w:b w:val="false"/>
          <w:bCs w:val="false"/>
        </w:rPr>
      </w:pPr>
      <w:r>
        <w:rPr>
          <w:b w:val="false"/>
          <w:bCs w:val="false"/>
        </w:rPr>
        <w:t>Are the payments for Out of Merit Order service contained in Protocol Section 6.8.2 (pages 6-47 – 6-51) reasonable, specifically the ratcheted payments for capacity starting at 150of the Replacement Reserve Service Market Clearing Price for Capacity (MCPC) and the 18,000 heat rate for energy?</w:t>
      </w:r>
    </w:p>
    <w:p>
      <w:pPr>
        <w:pStyle w:val="Subtitle"/>
        <w:numPr>
          <w:ilvl w:val="0"/>
          <w:numId w:val="16"/>
        </w:numPr>
        <w:rPr>
          <w:b w:val="false"/>
          <w:bCs w:val="false"/>
        </w:rPr>
      </w:pPr>
      <w:r>
        <w:rPr>
          <w:b w:val="false"/>
          <w:bCs w:val="false"/>
        </w:rPr>
        <w:t>In Protocol Section 4.1.2 (pages 4-2 – 4-3), should the adjustment period scheduling process be amended to include a requirement that ERCOT publish the MCP for Balancing Energy ten minutes before the Operating Hour (T minus 10 minutes)?</w:t>
      </w:r>
    </w:p>
    <w:p>
      <w:pPr>
        <w:pStyle w:val="Subtitle"/>
        <w:numPr>
          <w:ilvl w:val="0"/>
          <w:numId w:val="16"/>
        </w:numPr>
        <w:rPr>
          <w:b w:val="false"/>
          <w:bCs w:val="false"/>
        </w:rPr>
      </w:pPr>
      <w:r>
        <w:rPr>
          <w:b w:val="false"/>
          <w:bCs w:val="false"/>
        </w:rPr>
        <w:t>What accountability provisions, if any, should be added to the Protocol to ensure that a transmission and distribution service provider timely process retail switch request, drops to the provider of the last resort (POLR), and move-in/move out request?</w:t>
      </w:r>
    </w:p>
    <w:p>
      <w:pPr>
        <w:pStyle w:val="Subtitle"/>
        <w:numPr>
          <w:ilvl w:val="0"/>
          <w:numId w:val="16"/>
        </w:numPr>
        <w:rPr>
          <w:b w:val="false"/>
          <w:bCs w:val="false"/>
        </w:rPr>
      </w:pPr>
      <w:r>
        <w:rPr>
          <w:b w:val="false"/>
          <w:bCs w:val="false"/>
        </w:rPr>
        <w:t>Protocol Section 1.1 (page 1.1) states that if any provision of any Agreement conflicts with any provision of the Protocol, the Agreement shall prevail to the extent of the conflict.  Should Agreement provisions that deviate from the Protocols be required to expressly state that they deviate from the Protocol and should such deviations be effective only upon approval be the ERCOT Board of Directors on a showing of good cause?</w:t>
      </w:r>
    </w:p>
    <w:p>
      <w:pPr>
        <w:pStyle w:val="Subtitle"/>
        <w:rPr>
          <w:b w:val="false"/>
          <w:bCs w:val="false"/>
        </w:rPr>
      </w:pPr>
      <w:r>
        <w:rPr>
          <w:b w:val="false"/>
          <w:bCs w:val="false"/>
        </w:rPr>
        <w:t>Intervenor Issue</w:t>
      </w:r>
    </w:p>
    <w:p>
      <w:pPr>
        <w:pStyle w:val="Subtitle"/>
        <w:rPr>
          <w:b w:val="false"/>
          <w:bCs w:val="false"/>
        </w:rPr>
      </w:pPr>
      <w:r>
        <w:rPr>
          <w:b w:val="false"/>
          <w:bCs w:val="false"/>
        </w:rPr>
      </w:r>
    </w:p>
    <w:p>
      <w:pPr>
        <w:pStyle w:val="Subtitle"/>
        <w:rPr>
          <w:b w:val="false"/>
          <w:bCs w:val="false"/>
        </w:rPr>
      </w:pPr>
      <w:r>
        <w:rPr>
          <w:b w:val="false"/>
          <w:bCs w:val="false"/>
        </w:rPr>
        <w:t>AES Deepwater</w:t>
      </w:r>
    </w:p>
    <w:p>
      <w:pPr>
        <w:pStyle w:val="Subtitle"/>
        <w:numPr>
          <w:ilvl w:val="0"/>
          <w:numId w:val="8"/>
        </w:numPr>
        <w:rPr>
          <w:b w:val="false"/>
          <w:bCs w:val="false"/>
        </w:rPr>
      </w:pPr>
      <w:r>
        <w:rPr>
          <w:b w:val="false"/>
          <w:bCs w:val="false"/>
        </w:rPr>
        <w:t xml:space="preserve">Do the protocols need to provide a pricing or scheduling mechanism that alls the QFs in ERCOT to exercise their full range of PURPA right? AES at 4.  </w:t>
      </w:r>
    </w:p>
    <w:p>
      <w:pPr>
        <w:pStyle w:val="Subtitle"/>
        <w:rPr>
          <w:b w:val="false"/>
          <w:bCs w:val="false"/>
        </w:rPr>
      </w:pPr>
      <w:r>
        <w:rPr>
          <w:b w:val="false"/>
          <w:bCs w:val="false"/>
        </w:rPr>
        <w:t>Calpine Corp</w:t>
      </w:r>
    </w:p>
    <w:p>
      <w:pPr>
        <w:pStyle w:val="Subtitle"/>
        <w:numPr>
          <w:ilvl w:val="0"/>
          <w:numId w:val="8"/>
        </w:numPr>
        <w:rPr>
          <w:b w:val="false"/>
          <w:bCs w:val="false"/>
        </w:rPr>
      </w:pPr>
      <w:r>
        <w:rPr>
          <w:b w:val="false"/>
          <w:bCs w:val="false"/>
        </w:rPr>
        <w:t>Should Generators be explicitly compensated for the reactive support voltage control service they provide to the power system?  Calpine at 8.  SUPPLEMENTAL FILING WILL ADDRESS – PIP#102</w:t>
      </w:r>
    </w:p>
    <w:p>
      <w:pPr>
        <w:pStyle w:val="Subtitle"/>
        <w:rPr>
          <w:b w:val="false"/>
          <w:bCs w:val="false"/>
        </w:rPr>
      </w:pPr>
      <w:r>
        <w:rPr>
          <w:b w:val="false"/>
          <w:bCs w:val="false"/>
        </w:rPr>
        <w:t>City of Austin</w:t>
      </w:r>
    </w:p>
    <w:p>
      <w:pPr>
        <w:pStyle w:val="Subtitle"/>
        <w:numPr>
          <w:ilvl w:val="0"/>
          <w:numId w:val="15"/>
        </w:numPr>
        <w:rPr>
          <w:b w:val="false"/>
          <w:bCs w:val="false"/>
        </w:rPr>
      </w:pPr>
      <w:r>
        <w:rPr>
          <w:b w:val="false"/>
          <w:bCs w:val="false"/>
        </w:rPr>
        <w:t>Should the Commission require ERCOT to assure that the approved Protocols be fully operational at the opening of the restructured wholesale market?  Austin at 2-4.</w:t>
      </w:r>
    </w:p>
    <w:p>
      <w:pPr>
        <w:pStyle w:val="Subtitle"/>
        <w:numPr>
          <w:ilvl w:val="0"/>
          <w:numId w:val="15"/>
        </w:numPr>
        <w:rPr>
          <w:b w:val="false"/>
          <w:bCs w:val="false"/>
        </w:rPr>
      </w:pPr>
      <w:r>
        <w:rPr>
          <w:b w:val="false"/>
          <w:bCs w:val="false"/>
        </w:rPr>
        <w:t>Do the guidelines for load profiling and aggregation procedures penalize the load serving entity with a higher than typical historical energy efficiency investment for making those investments? Austin at 4-6.</w:t>
      </w:r>
    </w:p>
    <w:p>
      <w:pPr>
        <w:pStyle w:val="Subtitle"/>
        <w:numPr>
          <w:ilvl w:val="0"/>
          <w:numId w:val="15"/>
        </w:numPr>
        <w:rPr>
          <w:b w:val="false"/>
          <w:bCs w:val="false"/>
        </w:rPr>
      </w:pPr>
      <w:r>
        <w:rPr>
          <w:b w:val="false"/>
          <w:bCs w:val="false"/>
        </w:rPr>
        <w:t>Should the Commission direct ERCOT to develop unique weather zones for every major load center with distinguishing weather characteristic and upon demonstration that comprehensive data exist?  Austin at 6.</w:t>
      </w:r>
    </w:p>
    <w:p>
      <w:pPr>
        <w:pStyle w:val="Subtitle"/>
        <w:numPr>
          <w:ilvl w:val="0"/>
          <w:numId w:val="15"/>
        </w:numPr>
        <w:rPr>
          <w:b w:val="false"/>
          <w:bCs w:val="false"/>
        </w:rPr>
      </w:pPr>
      <w:r>
        <w:rPr>
          <w:b w:val="false"/>
          <w:bCs w:val="false"/>
        </w:rPr>
        <w:t>Despite the ongoing discussions, should the Commission approve the ADR language as submitted for approval wherein mediation, is the default procedure to settle disputes?  Austin at 7-8 SUPPLEMENTAL FILING WILL ADDRSSS – PIP  # 102</w:t>
      </w:r>
    </w:p>
    <w:p>
      <w:pPr>
        <w:pStyle w:val="Subtitle"/>
        <w:numPr>
          <w:ilvl w:val="0"/>
          <w:numId w:val="15"/>
        </w:numPr>
        <w:rPr>
          <w:b w:val="false"/>
          <w:bCs w:val="false"/>
        </w:rPr>
      </w:pPr>
      <w:r>
        <w:rPr>
          <w:b w:val="false"/>
          <w:bCs w:val="false"/>
        </w:rPr>
        <w:t>Should the commissions revisit and clarify the late fee policy for electronic fund transfers?  Austin at 8-9.</w:t>
      </w:r>
    </w:p>
    <w:p>
      <w:pPr>
        <w:pStyle w:val="Subtitle"/>
        <w:rPr>
          <w:b w:val="false"/>
          <w:bCs w:val="false"/>
        </w:rPr>
      </w:pPr>
      <w:r>
        <w:rPr>
          <w:b w:val="false"/>
          <w:bCs w:val="false"/>
        </w:rPr>
        <w:t>City of Denton</w:t>
      </w:r>
    </w:p>
    <w:p>
      <w:pPr>
        <w:pStyle w:val="Subtitle"/>
        <w:numPr>
          <w:ilvl w:val="0"/>
          <w:numId w:val="4"/>
        </w:numPr>
        <w:rPr>
          <w:b w:val="false"/>
          <w:bCs w:val="false"/>
        </w:rPr>
      </w:pPr>
      <w:r>
        <w:rPr>
          <w:b w:val="false"/>
          <w:bCs w:val="false"/>
        </w:rPr>
        <w:t>Should the RMR capacity and energy payments be revised to allow the I-unit owners to recover the cost to provide those services, much like the OOM services payment structure?  Denton 2, 4.</w:t>
      </w:r>
    </w:p>
    <w:p>
      <w:pPr>
        <w:pStyle w:val="Subtitle"/>
        <w:numPr>
          <w:ilvl w:val="0"/>
          <w:numId w:val="4"/>
        </w:numPr>
        <w:rPr>
          <w:b w:val="false"/>
          <w:bCs w:val="false"/>
        </w:rPr>
      </w:pPr>
      <w:r>
        <w:rPr>
          <w:b w:val="false"/>
          <w:bCs w:val="false"/>
        </w:rPr>
        <w:t>Is there a bias towards OOM services tha could market power abuses be fleet generation owners, especially in non-attainment areas, and could such abuse be magnified in areas subject to emissions limitations that could restrict operation? Denton at 4-6.</w:t>
      </w:r>
    </w:p>
    <w:p>
      <w:pPr>
        <w:pStyle w:val="Subtitle"/>
        <w:numPr>
          <w:ilvl w:val="0"/>
          <w:numId w:val="4"/>
        </w:numPr>
        <w:rPr>
          <w:b w:val="false"/>
          <w:bCs w:val="false"/>
        </w:rPr>
      </w:pPr>
      <w:r>
        <w:rPr>
          <w:b w:val="false"/>
          <w:bCs w:val="false"/>
        </w:rPr>
        <w:t>Is the RMR Agreement penalty for an unexcused Misconduct Event excessicive and are the proformance standards to define the event too strict and excuse for misconduct too vague?  Denton at 6.</w:t>
      </w:r>
    </w:p>
    <w:p>
      <w:pPr>
        <w:pStyle w:val="Subtitle"/>
        <w:numPr>
          <w:ilvl w:val="0"/>
          <w:numId w:val="4"/>
        </w:numPr>
        <w:rPr>
          <w:b w:val="false"/>
          <w:bCs w:val="false"/>
        </w:rPr>
      </w:pPr>
      <w:r>
        <w:rPr>
          <w:b w:val="false"/>
          <w:bCs w:val="false"/>
        </w:rPr>
        <w:t>Should RMR agreements be revised to remove mechanisms that result in a doubling of penalties for olders units’ failure to meet “rigid standards” and be replaced with less chilling penalties?  Denton at 7-8.</w:t>
      </w:r>
    </w:p>
    <w:p>
      <w:pPr>
        <w:pStyle w:val="Subtitle"/>
        <w:numPr>
          <w:ilvl w:val="0"/>
          <w:numId w:val="4"/>
        </w:numPr>
        <w:rPr>
          <w:b w:val="false"/>
          <w:bCs w:val="false"/>
        </w:rPr>
      </w:pPr>
      <w:r>
        <w:rPr>
          <w:b w:val="false"/>
          <w:bCs w:val="false"/>
        </w:rPr>
        <w:t>Should the Protocols address the regional needs for Brownfield development of new generations in the non-attainment areas?  Denton at 8.</w:t>
      </w:r>
    </w:p>
    <w:p>
      <w:pPr>
        <w:pStyle w:val="Subtitle"/>
        <w:numPr>
          <w:ilvl w:val="0"/>
          <w:numId w:val="4"/>
        </w:numPr>
        <w:rPr>
          <w:b w:val="false"/>
          <w:bCs w:val="false"/>
        </w:rPr>
      </w:pPr>
      <w:r>
        <w:rPr>
          <w:b w:val="false"/>
          <w:bCs w:val="false"/>
        </w:rPr>
        <w:t>Should an RMR unit owner be able to use the unit for self-provision and should ERCOT withhold 10% of gross revenues from sales allowed in the Balancing Energy market?  Denton at 10-11.</w:t>
      </w:r>
    </w:p>
    <w:p>
      <w:pPr>
        <w:pStyle w:val="Subtitle"/>
        <w:rPr>
          <w:b w:val="false"/>
          <w:bCs w:val="false"/>
        </w:rPr>
      </w:pPr>
      <w:r>
        <w:rPr>
          <w:b w:val="false"/>
          <w:bCs w:val="false"/>
        </w:rPr>
        <w:t>City Public Service of San Antonio</w:t>
      </w:r>
    </w:p>
    <w:p>
      <w:pPr>
        <w:pStyle w:val="Subtitle"/>
        <w:numPr>
          <w:ilvl w:val="0"/>
          <w:numId w:val="11"/>
        </w:numPr>
        <w:rPr>
          <w:b w:val="false"/>
          <w:bCs w:val="false"/>
        </w:rPr>
      </w:pPr>
      <w:r>
        <w:rPr>
          <w:b w:val="false"/>
          <w:bCs w:val="false"/>
        </w:rPr>
        <w:t>Should the settlement interval for the determination of the coincident peak demand for TCOS allocation purpose remain at one hour or change to a 15 minutes interval?  San Antonio at 3.</w:t>
      </w:r>
    </w:p>
    <w:p>
      <w:pPr>
        <w:pStyle w:val="Subtitle"/>
        <w:numPr>
          <w:ilvl w:val="0"/>
          <w:numId w:val="11"/>
        </w:numPr>
        <w:rPr>
          <w:b w:val="false"/>
          <w:bCs w:val="false"/>
        </w:rPr>
      </w:pPr>
      <w:r>
        <w:rPr>
          <w:b w:val="false"/>
          <w:bCs w:val="false"/>
        </w:rPr>
        <w:t>Should Section 9.8.2, which requires ERCOT to produce certain data elements for each month to be used by TDSPs as billing determinants for transmission access service, be deleted?  San Antonio at 3-4.</w:t>
      </w:r>
    </w:p>
    <w:p>
      <w:pPr>
        <w:pStyle w:val="Subtitle"/>
        <w:numPr>
          <w:ilvl w:val="0"/>
          <w:numId w:val="11"/>
        </w:numPr>
        <w:rPr>
          <w:b w:val="false"/>
          <w:bCs w:val="false"/>
        </w:rPr>
      </w:pPr>
      <w:r>
        <w:rPr>
          <w:b w:val="false"/>
          <w:bCs w:val="false"/>
        </w:rPr>
        <w:t>Should the definition of “Market Solution” be changed to broaden the scope from “local congestion” to any circumstances where local reliability problems are encountered?   Should resources be narrowed to me “generation” and exclude loads acting as resources?  San Antonio at 4,</w:t>
      </w:r>
    </w:p>
    <w:p>
      <w:pPr>
        <w:pStyle w:val="Subtitle"/>
        <w:numPr>
          <w:ilvl w:val="0"/>
          <w:numId w:val="11"/>
        </w:numPr>
        <w:rPr>
          <w:b w:val="false"/>
          <w:bCs w:val="false"/>
        </w:rPr>
      </w:pPr>
      <w:r>
        <w:rPr>
          <w:b w:val="false"/>
          <w:bCs w:val="false"/>
        </w:rPr>
        <w:t>Should the effective data of any revision to the Protocols be extended to at least 35 days beyond the date of the decision of the Board to allow market participate to appeal the change decided by the Commission and should and should the effective date extended further pending the decision on appeal?  Should ERCOT file documentation of the requests to the Commission along with the informational filing?  San Antonio at 4-5.</w:t>
      </w:r>
    </w:p>
    <w:p>
      <w:pPr>
        <w:pStyle w:val="Subtitle"/>
        <w:numPr>
          <w:ilvl w:val="0"/>
          <w:numId w:val="11"/>
        </w:numPr>
        <w:rPr>
          <w:b w:val="false"/>
          <w:bCs w:val="false"/>
        </w:rPr>
      </w:pPr>
      <w:r>
        <w:rPr>
          <w:b w:val="false"/>
          <w:bCs w:val="false"/>
        </w:rPr>
        <w:t xml:space="preserve">Due to the gaps between the August and November Protocols and the financial impact such gaps could have on participants  beginning June 1, 2002, should Commision assass the commencement of a sinlge control area operation on June 1, 2001 given gaps?  San Antonio at 5-6. </w:t>
      </w:r>
    </w:p>
    <w:p>
      <w:pPr>
        <w:pStyle w:val="Subtitle"/>
        <w:ind w:start="1440" w:end="0"/>
        <w:rPr>
          <w:b w:val="false"/>
          <w:bCs w:val="false"/>
        </w:rPr>
      </w:pPr>
      <w:r>
        <w:rPr>
          <w:b w:val="false"/>
          <w:bCs w:val="false"/>
        </w:rPr>
        <w:t>SUPPLEMENTAL FILING WILL ADDRESS – Protocol Implementation Plan in general.</w:t>
      </w:r>
    </w:p>
    <w:p>
      <w:pPr>
        <w:pStyle w:val="Subtitle"/>
        <w:rPr>
          <w:b w:val="false"/>
          <w:bCs w:val="false"/>
        </w:rPr>
      </w:pPr>
      <w:r>
        <w:rPr>
          <w:b w:val="false"/>
          <w:bCs w:val="false"/>
        </w:rPr>
        <w:t>Consumers Group</w:t>
      </w:r>
    </w:p>
    <w:p>
      <w:pPr>
        <w:pStyle w:val="Subtitle"/>
        <w:numPr>
          <w:ilvl w:val="0"/>
          <w:numId w:val="1"/>
        </w:numPr>
        <w:rPr>
          <w:b w:val="false"/>
          <w:bCs w:val="false"/>
        </w:rPr>
      </w:pPr>
      <w:r>
        <w:rPr>
          <w:b w:val="false"/>
          <w:bCs w:val="false"/>
        </w:rPr>
        <w:t xml:space="preserve">How should the commission evaluate the effect  of the design, allocation of and total cost of the registration system and customer profiles on the residential and low income customers? </w:t>
      </w:r>
    </w:p>
    <w:p>
      <w:pPr>
        <w:pStyle w:val="Subtitle"/>
        <w:rPr>
          <w:b w:val="false"/>
          <w:bCs w:val="false"/>
        </w:rPr>
      </w:pPr>
      <w:r>
        <w:rPr>
          <w:b w:val="false"/>
          <w:bCs w:val="false"/>
        </w:rPr>
        <w:t>Dynegy</w:t>
      </w:r>
    </w:p>
    <w:p>
      <w:pPr>
        <w:pStyle w:val="Subtitle"/>
        <w:numPr>
          <w:ilvl w:val="0"/>
          <w:numId w:val="3"/>
        </w:numPr>
        <w:rPr>
          <w:b w:val="false"/>
          <w:bCs w:val="false"/>
        </w:rPr>
      </w:pPr>
      <w:r>
        <w:rPr>
          <w:b w:val="false"/>
          <w:bCs w:val="false"/>
        </w:rPr>
        <w:t>Should utilities on Texas remain obligated to buy from QFs? (This is not addressed in the Protocols) Dynegy at 4.</w:t>
      </w:r>
    </w:p>
    <w:p>
      <w:pPr>
        <w:pStyle w:val="Subtitle"/>
        <w:numPr>
          <w:ilvl w:val="0"/>
          <w:numId w:val="3"/>
        </w:numPr>
        <w:rPr>
          <w:b w:val="false"/>
          <w:bCs w:val="false"/>
        </w:rPr>
      </w:pPr>
      <w:r>
        <w:rPr>
          <w:b w:val="false"/>
          <w:bCs w:val="false"/>
        </w:rPr>
        <w:t>The ancillary market does not provide energy prices for “reserved” capacity ahead of time- does this discourage resource participation?  Dynegy at 4.</w:t>
      </w:r>
    </w:p>
    <w:p>
      <w:pPr>
        <w:pStyle w:val="Subtitle"/>
        <w:numPr>
          <w:ilvl w:val="0"/>
          <w:numId w:val="3"/>
        </w:numPr>
        <w:rPr>
          <w:b w:val="false"/>
          <w:bCs w:val="false"/>
        </w:rPr>
      </w:pPr>
      <w:r>
        <w:rPr>
          <w:b w:val="false"/>
          <w:bCs w:val="false"/>
        </w:rPr>
        <w:t>Are Replacement Reserves an unnecessary subsidy for generators owning inefficient units and will these Reserves artificially depress the balancing energy market and deter new entrants into the market?  Dynegy at 4-5.</w:t>
      </w:r>
    </w:p>
    <w:p>
      <w:pPr>
        <w:pStyle w:val="Subtitle"/>
        <w:numPr>
          <w:ilvl w:val="0"/>
          <w:numId w:val="3"/>
        </w:numPr>
        <w:rPr>
          <w:b w:val="false"/>
          <w:bCs w:val="false"/>
        </w:rPr>
      </w:pPr>
      <w:r>
        <w:rPr>
          <w:b w:val="false"/>
          <w:bCs w:val="false"/>
        </w:rPr>
        <w:t>Should ERCOT include the “reasonability transfer” capability that will allow the small players to achieve similar portfolio benefits to the larger IOUs without the need to enter into burdensome business arrangements?  Should capacity auction products be accommodated?  Dynegy at 5.  SUPPLEMENTAL FILING WILL ADDRESS – PIP #102.</w:t>
      </w:r>
    </w:p>
    <w:p>
      <w:pPr>
        <w:pStyle w:val="Subtitle"/>
        <w:numPr>
          <w:ilvl w:val="0"/>
          <w:numId w:val="3"/>
        </w:numPr>
        <w:rPr>
          <w:b w:val="false"/>
          <w:bCs w:val="false"/>
        </w:rPr>
      </w:pPr>
      <w:r>
        <w:rPr>
          <w:b w:val="false"/>
          <w:bCs w:val="false"/>
        </w:rPr>
        <w:t>Should generators receive explicit compensation for reactive power supply?  Dynegy at 5.  SUPPLEMENTAL FILING WILL ADDRESS – PIP#102.</w:t>
      </w:r>
    </w:p>
    <w:p>
      <w:pPr>
        <w:pStyle w:val="Subtitle"/>
        <w:rPr>
          <w:b w:val="false"/>
          <w:bCs w:val="false"/>
        </w:rPr>
      </w:pPr>
      <w:r>
        <w:rPr>
          <w:b w:val="false"/>
          <w:bCs w:val="false"/>
        </w:rPr>
        <w:t>FLP Energy</w:t>
      </w:r>
    </w:p>
    <w:p>
      <w:pPr>
        <w:pStyle w:val="Subtitle"/>
        <w:numPr>
          <w:ilvl w:val="0"/>
          <w:numId w:val="14"/>
        </w:numPr>
        <w:rPr>
          <w:b w:val="false"/>
          <w:bCs w:val="false"/>
        </w:rPr>
      </w:pPr>
      <w:r>
        <w:rPr>
          <w:b w:val="false"/>
          <w:bCs w:val="false"/>
        </w:rPr>
        <w:t>Should Section 20 be revised to provide mediation as a matter of right for parties engaged in a dispute and arbitration as the default procedure for parties who have reached an impasse in negotiations? FLP at 2 SUPPLEMENTAL FILING WILL ADDRESS</w:t>
      </w:r>
    </w:p>
    <w:p>
      <w:pPr>
        <w:pStyle w:val="Subtitle"/>
        <w:rPr>
          <w:b w:val="false"/>
          <w:bCs w:val="false"/>
        </w:rPr>
      </w:pPr>
      <w:r>
        <w:rPr>
          <w:b w:val="false"/>
          <w:bCs w:val="false"/>
        </w:rPr>
        <w:t>Independent Marketers</w:t>
      </w:r>
    </w:p>
    <w:p>
      <w:pPr>
        <w:pStyle w:val="Subtitle"/>
        <w:rPr>
          <w:b w:val="false"/>
          <w:bCs w:val="false"/>
        </w:rPr>
      </w:pPr>
      <w:r>
        <w:rPr>
          <w:b w:val="false"/>
          <w:bCs w:val="false"/>
        </w:rPr>
        <w:tab/>
        <w:t>1.</w:t>
      </w:r>
      <w:r>
        <w:rPr>
          <w:b w:val="false"/>
          <w:bCs w:val="false"/>
          <w:i/>
          <w:iCs/>
        </w:rPr>
        <w:t>Dispatch</w:t>
      </w:r>
    </w:p>
    <w:p>
      <w:pPr>
        <w:pStyle w:val="Subtitle"/>
        <w:ind w:start="1440" w:end="0"/>
        <w:rPr>
          <w:b w:val="false"/>
          <w:bCs w:val="false"/>
        </w:rPr>
      </w:pPr>
      <w:r>
        <w:rPr>
          <w:b w:val="false"/>
          <w:bCs w:val="false"/>
        </w:rPr>
        <w:t>(1a) Should REPs be kept informed through immediate notification be their QSE of emergency situations and short supply operations in order to protect their financial status and inform their customers?  Indpt. Mktrs at 1.</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(1b) In 5.6.6.1.. Does the term “larger group of customers” need clarification to ensure the nondiscriminatory restoration of service by the TDSP to the customers?  Indpt Mktrs at 2.</w:t>
      </w:r>
    </w:p>
    <w:p>
      <w:pPr>
        <w:pStyle w:val="Subtitle"/>
        <w:ind w:start="1440" w:end="0"/>
        <w:rPr>
          <w:b w:val="false"/>
          <w:bCs w:val="false"/>
        </w:rPr>
      </w:pPr>
      <w:r>
        <w:rPr>
          <w:b w:val="false"/>
          <w:bCs w:val="false"/>
        </w:rPr>
        <w:t>(1c)Should section 5.6.7. that refers to load shedding by the TDSP, include nondiscriminatory language? Indpt Mktrs at 2.</w:t>
      </w:r>
    </w:p>
    <w:p>
      <w:pPr>
        <w:pStyle w:val="Subtitle"/>
        <w:ind w:start="1440" w:end="0"/>
        <w:rPr>
          <w:b w:val="false"/>
          <w:bCs w:val="false"/>
        </w:rPr>
      </w:pPr>
      <w:r>
        <w:rPr>
          <w:b w:val="false"/>
          <w:bCs w:val="false"/>
        </w:rPr>
        <w:t>(1d) Should the Protocols recognize the need for TDSPs to file emergency operations plans with the Commission as provided in the Substantive Rules?Indpt Mktrs at 2.</w:t>
      </w:r>
    </w:p>
    <w:p>
      <w:pPr>
        <w:pStyle w:val="Subtitle"/>
        <w:ind w:start="1440" w:end="0"/>
        <w:rPr>
          <w:b w:val="false"/>
          <w:bCs w:val="false"/>
        </w:rPr>
      </w:pPr>
      <w:r>
        <w:rPr>
          <w:b w:val="false"/>
          <w:bCs w:val="false"/>
        </w:rPr>
        <w:t>(1e)If the statement in 5.6.8. (There will be no compensation other than normal settlement methods to load in the event of Load shedding by the TDSP during EECP”) means that generations are favored over load in the settlement process, should it be stricken?  Indpt Mktrs at 2.</w:t>
      </w:r>
    </w:p>
    <w:p>
      <w:pPr>
        <w:pStyle w:val="Subtitle"/>
        <w:numPr>
          <w:ilvl w:val="0"/>
          <w:numId w:val="14"/>
        </w:numPr>
        <w:rPr>
          <w:b w:val="false"/>
          <w:bCs w:val="false"/>
        </w:rPr>
      </w:pPr>
      <w:r>
        <w:rPr>
          <w:b w:val="false"/>
          <w:bCs w:val="false"/>
        </w:rPr>
        <w:t>Ancillary Service/Congestion Management</w:t>
      </w:r>
    </w:p>
    <w:p>
      <w:pPr>
        <w:pStyle w:val="Subtitle"/>
        <w:ind w:start="1440" w:end="0"/>
        <w:rPr>
          <w:b w:val="false"/>
          <w:bCs w:val="false"/>
        </w:rPr>
      </w:pPr>
      <w:r>
        <w:rPr>
          <w:b w:val="false"/>
          <w:bCs w:val="false"/>
        </w:rPr>
        <w:t>(2a) Is the proposed scheme for solving congestion management too complicated and difficult for the REP to predict their cost?  Should all loads bear a pro rata cost from day one or there should there be a direct assignment from day one?  Indpt Mktrs at 3</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(2b) Is the treatment of the MOUs and the electric coops with regard to pre-assigned TCRs discriminatory and will deprive other market participants from purchasing certain TCRs?  Indpt Mktrs at3-4</w:t>
      </w:r>
    </w:p>
    <w:p>
      <w:pPr>
        <w:pStyle w:val="Subtitle"/>
        <w:numPr>
          <w:ilvl w:val="0"/>
          <w:numId w:val="14"/>
        </w:numPr>
        <w:rPr>
          <w:b w:val="false"/>
          <w:bCs w:val="false"/>
        </w:rPr>
      </w:pPr>
      <w:r>
        <w:rPr>
          <w:b w:val="false"/>
          <w:bCs w:val="false"/>
        </w:rPr>
        <w:t>Settlement and Billing</w:t>
      </w:r>
    </w:p>
    <w:p>
      <w:pPr>
        <w:pStyle w:val="Subtitle"/>
        <w:ind w:firstLine="720" w:start="720" w:end="0"/>
        <w:rPr>
          <w:b w:val="false"/>
          <w:bCs w:val="false"/>
        </w:rPr>
      </w:pPr>
      <w:r>
        <w:rPr>
          <w:b w:val="false"/>
          <w:bCs w:val="false"/>
        </w:rPr>
        <w:t xml:space="preserve">(3a) Are the provisions that allow ERCOT to collect monies form QSs (and the </w:t>
      </w:r>
    </w:p>
    <w:p>
      <w:pPr>
        <w:pStyle w:val="Subtitle"/>
        <w:ind w:start="1440" w:end="0"/>
        <w:rPr>
          <w:b w:val="false"/>
          <w:bCs w:val="false"/>
        </w:rPr>
      </w:pPr>
      <w:r>
        <w:rPr>
          <w:b w:val="false"/>
          <w:bCs w:val="false"/>
        </w:rPr>
        <w:t>REPs they represent) that are not responsible for a short pay to ERCOT, on a load ratio share basis, to cover the shorting QSE unfair and will these provisions incite short payments?  Indpt Mktrs at 5</w:t>
      </w:r>
    </w:p>
    <w:p>
      <w:pPr>
        <w:pStyle w:val="Subtitle"/>
        <w:ind w:start="1440" w:end="0"/>
        <w:rPr>
          <w:b w:val="false"/>
          <w:bCs w:val="false"/>
        </w:rPr>
      </w:pPr>
      <w:r>
        <w:rPr>
          <w:b w:val="false"/>
          <w:bCs w:val="false"/>
        </w:rPr>
        <w:t>(3b) Is the allocation of other costs REPs on a load ratio share (rather than generation) bassis discriminatory, inequitable and unfair to the REP who has no control over the situation?  Indpt Mkrs at 5</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(3c) Should the Commission have oversight with regard to ERCOT administrative fees?  Indpt. Mktrs. at 6.</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(3d) Is the 10-day limit to dispute an ERCOT statement of invoice too short if it is indeed a mandatory deadline?  Indpt. Mktrs. at 6.</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(3e) Should the word “proven” in 9.5.5 be changed to “alleged” with regard to disputes against ERCOT operational decisions or market rules?  Indpt. Mktrs. at 6.</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(3f) Do the settlement dispute sections need clarification to include REPs as entities who may take action in the settlement process by initiating or pursuing disputes?  Indpt. Mktrs. at 6.</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(3g) How should the transmission billing determinant calculations be made consistent with the pending UCOS dockets? Indpt. Mktrs. at 6.</w:t>
      </w:r>
    </w:p>
    <w:p>
      <w:pPr>
        <w:pStyle w:val="Subtitle"/>
        <w:rPr>
          <w:b w:val="false"/>
          <w:bCs w:val="false"/>
        </w:rPr>
      </w:pPr>
      <w:r>
        <w:rPr>
          <w:b w:val="false"/>
          <w:bCs w:val="false"/>
        </w:rPr>
      </w:r>
    </w:p>
    <w:p>
      <w:pPr>
        <w:pStyle w:val="Subtitle"/>
        <w:numPr>
          <w:ilvl w:val="0"/>
          <w:numId w:val="14"/>
        </w:numPr>
        <w:rPr>
          <w:b w:val="false"/>
          <w:bCs w:val="false"/>
        </w:rPr>
      </w:pPr>
      <w:r>
        <w:rPr>
          <w:b w:val="false"/>
          <w:bCs w:val="false"/>
          <w:i/>
          <w:iCs/>
        </w:rPr>
        <w:t>Market Information System</w:t>
      </w:r>
    </w:p>
    <w:p>
      <w:pPr>
        <w:pStyle w:val="Subtitle"/>
        <w:ind w:start="720" w:end="0"/>
        <w:rPr>
          <w:b w:val="false"/>
          <w:bCs w:val="false"/>
        </w:rPr>
      </w:pPr>
      <w:r>
        <w:rPr>
          <w:b w:val="false"/>
          <w:bCs w:val="false"/>
        </w:rPr>
      </w:r>
    </w:p>
    <w:p>
      <w:pPr>
        <w:pStyle w:val="Subtitle"/>
        <w:ind w:start="1440" w:end="0"/>
        <w:rPr>
          <w:b w:val="false"/>
          <w:bCs w:val="false"/>
        </w:rPr>
      </w:pPr>
      <w:r>
        <w:rPr>
          <w:b w:val="false"/>
          <w:bCs w:val="false"/>
        </w:rPr>
        <w:t>(4a) Should ERCOT use “push” rather than “pull” technology to transfer information to and from ERCOT and market participants? Indpt. Mktrs. at 7.</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(4b) Should the ERCOT registered agent maintain and Internet-based database of the premise usage and interval demand data obtained in the settlement process for REP access if authorized by the customer? Indpt. Mktrs. at 7.</w:t>
      </w:r>
    </w:p>
    <w:p>
      <w:pPr>
        <w:pStyle w:val="Subtitle"/>
        <w:ind w:start="1440" w:end="0"/>
        <w:rPr>
          <w:b w:val="false"/>
          <w:bCs w:val="false"/>
        </w:rPr>
      </w:pPr>
      <w:r>
        <w:rPr>
          <w:b w:val="false"/>
          <w:bCs w:val="false"/>
        </w:rPr>
      </w:r>
    </w:p>
    <w:p>
      <w:pPr>
        <w:pStyle w:val="Subtitle"/>
        <w:numPr>
          <w:ilvl w:val="0"/>
          <w:numId w:val="14"/>
        </w:numPr>
        <w:rPr>
          <w:b w:val="false"/>
          <w:bCs w:val="false"/>
        </w:rPr>
      </w:pPr>
      <w:r>
        <w:rPr>
          <w:b w:val="false"/>
          <w:bCs w:val="false"/>
          <w:i/>
          <w:iCs/>
        </w:rPr>
        <w:t>Customer Registration</w:t>
      </w:r>
    </w:p>
    <w:p>
      <w:pPr>
        <w:pStyle w:val="Subtitle"/>
        <w:ind w:start="720" w:end="0"/>
        <w:rPr>
          <w:b w:val="false"/>
          <w:bCs w:val="false"/>
        </w:rPr>
      </w:pPr>
      <w:r>
        <w:rPr>
          <w:b w:val="false"/>
          <w:bCs w:val="false"/>
        </w:rPr>
      </w:r>
    </w:p>
    <w:p>
      <w:pPr>
        <w:pStyle w:val="Subtitle"/>
        <w:ind w:start="1440" w:end="0"/>
        <w:rPr>
          <w:b w:val="false"/>
          <w:bCs w:val="false"/>
        </w:rPr>
      </w:pPr>
      <w:r>
        <w:rPr>
          <w:b w:val="false"/>
          <w:bCs w:val="false"/>
        </w:rPr>
        <w:t>(5a) Do REPs need a “no later than” deadline to know when their customers will begin obtaining service from them? Indpt. Mktrs. at 8.</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(5b) Should out of cycle meter reads by TDSP in a switch process be changed from 2 to 1 business day? Indpt. Mktrs. at 8.</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(5c) The TDSP is held largely unaccountable for providing meter related information to ERCOT upon a switch, drop to POLR, or move in or out requests – does this create a risk of a TDSP delay or termination of a request? Indpt. Mktrs. at 8-9.</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(5d) Should the REP and Commission be notified immediately if the TDSP does not meet deadlines required in this Section? Indpt. Mktrs. at 9.</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(5e) Should the TDSP process meter information requests and schedule reading meters in a non-discriminatory manner? Indpt. Mtkrs. At 9.</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(5f) Should the 20-business day default language for dropping a switch request is removed (i.e. only the affected REP should be able to drop a switch request)? Indpt. Mktrs. at 9.</w:t>
      </w:r>
    </w:p>
    <w:p>
      <w:pPr>
        <w:pStyle w:val="Subtitle"/>
        <w:rPr>
          <w:b w:val="false"/>
          <w:bCs w:val="false"/>
        </w:rPr>
      </w:pPr>
      <w:r>
        <w:rPr>
          <w:b w:val="false"/>
          <w:bCs w:val="false"/>
        </w:rPr>
        <w:tab/>
      </w:r>
    </w:p>
    <w:p>
      <w:pPr>
        <w:pStyle w:val="Subtitle"/>
        <w:numPr>
          <w:ilvl w:val="0"/>
          <w:numId w:val="14"/>
        </w:numPr>
        <w:rPr>
          <w:b w:val="false"/>
          <w:bCs w:val="false"/>
        </w:rPr>
      </w:pPr>
      <w:r>
        <w:rPr>
          <w:b w:val="false"/>
          <w:bCs w:val="false"/>
          <w:i/>
          <w:iCs/>
        </w:rPr>
        <w:t>Load Profiling</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(6a) Should the language in 18.4.4.4.1 be changed to state that a TDSP must change the assignment of a load profile based on an outcome in a dispute in favor of the REP? Indpt. Mktrs. at 9.</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(6b) Is the two year limit to provide load profile data to market participants justified since load profiling will continue after the two years? [If it is rolling, needs to be clarified.] Indpt. Mktrs. at 9.</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(6c) Should the TDSP be required to take steps necessary to effectuate a REP’s request for TOU schedules (not merely “can be developed”) and should such schedules be processed in a nondiscriminatory manner? Indpt. Mktrs. at 9-10.</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(6d) Should more explanation be provided for the rationale and sanction behind prohibiting a REP to discover the location and identity of sampled premises used to develop a load profile for the REP’s DLC programs or a REP’s failure to notify ERCOT of such? Indpt. Mktrs. at 10.</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t>SUPPLEMENTAL FILING WILL ADDRESS – PIP #106</w:t>
      </w:r>
    </w:p>
    <w:p>
      <w:pPr>
        <w:pStyle w:val="Subtitle"/>
        <w:ind w:start="1440" w:end="0"/>
        <w:rPr>
          <w:b w:val="false"/>
          <w:bCs w:val="false"/>
        </w:rPr>
      </w:pPr>
      <w:r>
        <w:rPr>
          <w:b w:val="false"/>
          <w:bCs w:val="false"/>
        </w:rPr>
      </w:r>
    </w:p>
    <w:p>
      <w:pPr>
        <w:pStyle w:val="Subtitle"/>
        <w:ind w:start="1440" w:end="0"/>
        <w:rPr>
          <w:b w:val="false"/>
          <w:bCs w:val="false"/>
        </w:rPr>
      </w:pPr>
      <w:r>
        <w:rPr>
          <w:b w:val="false"/>
          <w:bCs w:val="false"/>
          <w:u w:val="single"/>
        </w:rPr>
        <w:t>Nucor Steel</w:t>
      </w:r>
    </w:p>
    <w:p>
      <w:pPr>
        <w:pStyle w:val="Subtitle"/>
        <w:ind w:start="1440" w:end="0"/>
        <w:rPr>
          <w:b w:val="false"/>
          <w:bCs w:val="false"/>
        </w:rPr>
      </w:pPr>
      <w:r>
        <w:rPr>
          <w:b w:val="false"/>
          <w:bCs w:val="false"/>
        </w:rPr>
      </w:r>
    </w:p>
    <w:p>
      <w:pPr>
        <w:pStyle w:val="Subtitle"/>
        <w:numPr>
          <w:ilvl w:val="1"/>
          <w:numId w:val="3"/>
        </w:numPr>
        <w:rPr>
          <w:b w:val="false"/>
          <w:bCs w:val="false"/>
        </w:rPr>
      </w:pPr>
      <w:r>
        <w:rPr>
          <w:b w:val="false"/>
          <w:bCs w:val="false"/>
        </w:rPr>
        <w:t>What restrictions (if any) should be placed on interruptible load participation in responsive reserves market? Nucor at 4-5.</w:t>
      </w:r>
    </w:p>
    <w:p>
      <w:pPr>
        <w:pStyle w:val="Subtitle"/>
        <w:numPr>
          <w:ilvl w:val="1"/>
          <w:numId w:val="3"/>
        </w:numPr>
        <w:rPr>
          <w:b w:val="false"/>
          <w:bCs w:val="false"/>
        </w:rPr>
      </w:pPr>
      <w:r>
        <w:rPr>
          <w:b w:val="false"/>
          <w:bCs w:val="false"/>
        </w:rPr>
        <w:t>Is it reasonable to require loads acting as resources in the ancillary market to respond to ERCOT instruction “in a similar manner to generation?” Nucor at 6.</w:t>
      </w:r>
    </w:p>
    <w:p>
      <w:pPr>
        <w:pStyle w:val="Subtitle"/>
        <w:numPr>
          <w:ilvl w:val="1"/>
          <w:numId w:val="3"/>
        </w:numPr>
        <w:rPr>
          <w:b w:val="false"/>
          <w:bCs w:val="false"/>
        </w:rPr>
      </w:pPr>
      <w:r>
        <w:rPr>
          <w:b w:val="false"/>
          <w:bCs w:val="false"/>
        </w:rPr>
        <w:t>Is it reasonable to require loads acting as a resource in the ancillary services market to respond to “recall” instructions in a manner similar to generation rather than by a slower recall period? Nucor at 6-7.</w:t>
      </w:r>
    </w:p>
    <w:p>
      <w:pPr>
        <w:pStyle w:val="Subtitle"/>
        <w:ind w:start="1800" w:end="0"/>
        <w:rPr>
          <w:b w:val="false"/>
          <w:bCs w:val="false"/>
        </w:rPr>
      </w:pPr>
      <w:r>
        <w:rPr>
          <w:b w:val="false"/>
          <w:bCs w:val="false"/>
        </w:rPr>
        <w:t>SUPPLEMENTAL FILING WILL ADDRESS – PIP #148</w:t>
      </w:r>
    </w:p>
    <w:p>
      <w:pPr>
        <w:pStyle w:val="Subtitle"/>
        <w:numPr>
          <w:ilvl w:val="1"/>
          <w:numId w:val="3"/>
        </w:numPr>
        <w:rPr>
          <w:b w:val="false"/>
          <w:bCs w:val="false"/>
        </w:rPr>
      </w:pPr>
      <w:r>
        <w:rPr>
          <w:b w:val="false"/>
          <w:bCs w:val="false"/>
        </w:rPr>
        <w:t>How should the “baseline” to measure resources provided by loads in A/S markets be established and how should performance be measured?  Is telemetry appropriate? Nucor at 7-8.</w:t>
      </w:r>
    </w:p>
    <w:p>
      <w:pPr>
        <w:pStyle w:val="Subtitle"/>
        <w:numPr>
          <w:ilvl w:val="1"/>
          <w:numId w:val="3"/>
        </w:numPr>
        <w:rPr>
          <w:b w:val="false"/>
          <w:bCs w:val="false"/>
        </w:rPr>
      </w:pPr>
      <w:r>
        <w:rPr>
          <w:b w:val="false"/>
          <w:bCs w:val="false"/>
        </w:rPr>
        <w:t>Are the ancillary service qualification, testing and performance standards too restrictive for loads that cannot guarantee at what level they will operate since they fluctuate from hour to hour or minute to minute? Nucor at 8-9.</w:t>
      </w:r>
    </w:p>
    <w:p>
      <w:pPr>
        <w:pStyle w:val="Subtitle"/>
        <w:numPr>
          <w:ilvl w:val="1"/>
          <w:numId w:val="3"/>
        </w:numPr>
        <w:rPr>
          <w:b w:val="false"/>
          <w:bCs w:val="false"/>
        </w:rPr>
      </w:pPr>
      <w:r>
        <w:rPr>
          <w:b w:val="false"/>
          <w:bCs w:val="false"/>
        </w:rPr>
        <w:t>Should the settlement interval in Section 9 for determining the 4-CP billing determinant for transmission access require hourly demands instead of 15 minute demand intervals? Nucor at 9.</w:t>
      </w:r>
    </w:p>
    <w:p>
      <w:pPr>
        <w:pStyle w:val="Subtitle"/>
        <w:numPr>
          <w:ilvl w:val="1"/>
          <w:numId w:val="3"/>
        </w:numPr>
        <w:rPr>
          <w:b w:val="false"/>
          <w:bCs w:val="false"/>
        </w:rPr>
      </w:pPr>
      <w:r>
        <w:rPr>
          <w:b w:val="false"/>
          <w:bCs w:val="false"/>
        </w:rPr>
        <w:t>Should the Protocols use consistent hourly settlement intervals and not allow for the use of different time intervals for different services? Nucor at 9-10.</w:t>
      </w:r>
    </w:p>
    <w:p>
      <w:pPr>
        <w:pStyle w:val="Subtitle"/>
        <w:numPr>
          <w:ilvl w:val="1"/>
          <w:numId w:val="3"/>
        </w:numPr>
        <w:rPr>
          <w:b w:val="false"/>
          <w:bCs w:val="false"/>
        </w:rPr>
      </w:pPr>
      <w:r>
        <w:rPr>
          <w:b w:val="false"/>
          <w:bCs w:val="false"/>
        </w:rPr>
        <w:t>Should ERCOT, in a manner similar to RMR procurement, acquire (maintain) instantaneous interruptible resources as a backstop in emergency situations where spinning reserves are not enough? Nucor at 10.</w:t>
      </w:r>
    </w:p>
    <w:p>
      <w:pPr>
        <w:pStyle w:val="Subtitle"/>
        <w:numPr>
          <w:ilvl w:val="1"/>
          <w:numId w:val="3"/>
        </w:numPr>
        <w:rPr>
          <w:b w:val="false"/>
          <w:bCs w:val="false"/>
        </w:rPr>
      </w:pPr>
      <w:r>
        <w:rPr>
          <w:b w:val="false"/>
          <w:bCs w:val="false"/>
        </w:rPr>
        <w:t>Should ERCOT require a long-term load and resource planning process and should it include reserve margin requirements for firm load? Nucor at 10.</w:t>
      </w:r>
    </w:p>
    <w:p>
      <w:pPr>
        <w:pStyle w:val="Subtitle"/>
        <w:numPr>
          <w:ilvl w:val="1"/>
          <w:numId w:val="3"/>
        </w:numPr>
        <w:rPr>
          <w:b w:val="false"/>
          <w:bCs w:val="false"/>
        </w:rPr>
      </w:pPr>
      <w:r>
        <w:rPr>
          <w:b w:val="false"/>
          <w:bCs w:val="false"/>
        </w:rPr>
        <w:t>Add consumers to the list of parties who may request revisions to the Protocols. Nucor at 11-12.</w:t>
      </w:r>
    </w:p>
    <w:p>
      <w:pPr>
        <w:pStyle w:val="Subtitle"/>
        <w:ind w:start="1800" w:end="0"/>
        <w:rPr>
          <w:b w:val="false"/>
          <w:bCs w:val="false"/>
        </w:rPr>
      </w:pPr>
      <w:r>
        <w:rPr>
          <w:b w:val="false"/>
          <w:bCs w:val="false"/>
        </w:rPr>
        <w:t>[CONSUMERS ARE ALREADY INCLUDED.]</w:t>
      </w:r>
    </w:p>
    <w:p>
      <w:pPr>
        <w:pStyle w:val="Subtitle"/>
        <w:rPr>
          <w:b w:val="false"/>
          <w:bCs w:val="false"/>
        </w:rPr>
      </w:pPr>
      <w:r>
        <w:rPr>
          <w:b w:val="false"/>
          <w:bCs w:val="false"/>
        </w:rPr>
        <w:tab/>
      </w:r>
      <w:r>
        <w:rPr>
          <w:b w:val="false"/>
          <w:bCs w:val="false"/>
          <w:u w:val="single"/>
        </w:rPr>
        <w:t>Reliant Energy</w:t>
      </w:r>
    </w:p>
    <w:p>
      <w:pPr>
        <w:pStyle w:val="Subtitle"/>
        <w:numPr>
          <w:ilvl w:val="0"/>
          <w:numId w:val="13"/>
        </w:numPr>
        <w:rPr>
          <w:b w:val="false"/>
          <w:bCs w:val="false"/>
        </w:rPr>
      </w:pPr>
      <w:r>
        <w:rPr>
          <w:b w:val="false"/>
          <w:bCs w:val="false"/>
        </w:rPr>
        <w:t>What is the impact of decision in Section 12 to use “pull” vs. “push” technology for electrical data transfers between ERCOT and market participants and the File Transfer Protocol-Secured as the Internet transport profile? (Reliant suggests this can be resolved in the Protocol change procedure.) Reliant Energy at 2-3.</w:t>
      </w:r>
    </w:p>
    <w:p>
      <w:pPr>
        <w:pStyle w:val="Subtitle"/>
        <w:ind w:start="720" w:end="0"/>
        <w:rPr>
          <w:b w:val="false"/>
          <w:bCs w:val="false"/>
        </w:rPr>
      </w:pPr>
      <w:r>
        <w:rPr>
          <w:b w:val="false"/>
          <w:bCs w:val="false"/>
          <w:u w:val="single"/>
        </w:rPr>
        <w:t>Southern Company Energy Marketing</w:t>
      </w:r>
    </w:p>
    <w:p>
      <w:pPr>
        <w:pStyle w:val="Subtitle"/>
        <w:numPr>
          <w:ilvl w:val="0"/>
          <w:numId w:val="17"/>
        </w:numPr>
        <w:rPr>
          <w:b w:val="false"/>
          <w:bCs w:val="false"/>
        </w:rPr>
      </w:pPr>
      <w:r>
        <w:rPr>
          <w:b w:val="false"/>
          <w:bCs w:val="false"/>
        </w:rPr>
        <w:t>Should there be a formula to compensate Resources for lost opportunities if the Resource has not bid into the market because it is committed to selling into a bilateral or ancillary service market, but responds to ERCOT’s dispatch instructions as a result of a reliability or emergency situation? Southern Energy at 2-3.</w:t>
      </w:r>
    </w:p>
    <w:p>
      <w:pPr>
        <w:pStyle w:val="Subtitle"/>
        <w:ind w:start="1440" w:end="0"/>
        <w:rPr>
          <w:b w:val="false"/>
          <w:bCs w:val="false"/>
        </w:rPr>
      </w:pPr>
      <w:r>
        <w:rPr>
          <w:b w:val="false"/>
          <w:bCs w:val="false"/>
        </w:rPr>
      </w:r>
    </w:p>
    <w:p>
      <w:pPr>
        <w:pStyle w:val="Subtitle"/>
        <w:numPr>
          <w:ilvl w:val="0"/>
          <w:numId w:val="17"/>
        </w:numPr>
        <w:rPr>
          <w:b w:val="false"/>
          <w:bCs w:val="false"/>
        </w:rPr>
      </w:pPr>
      <w:r>
        <w:rPr>
          <w:b w:val="false"/>
          <w:bCs w:val="false"/>
        </w:rPr>
        <w:t>Does postage stamp allocation methodology for Congestion Management encourage gaming on behalf of some market participants? Southern Energy at 3-4.</w:t>
      </w:r>
    </w:p>
    <w:p>
      <w:pPr>
        <w:pStyle w:val="Subtitle"/>
        <w:rPr>
          <w:b w:val="false"/>
          <w:bCs w:val="false"/>
        </w:rPr>
      </w:pPr>
      <w:r>
        <w:rPr>
          <w:b w:val="false"/>
          <w:bCs w:val="false"/>
        </w:rPr>
      </w:r>
    </w:p>
    <w:p>
      <w:pPr>
        <w:pStyle w:val="Subtitle"/>
        <w:numPr>
          <w:ilvl w:val="0"/>
          <w:numId w:val="17"/>
        </w:numPr>
        <w:rPr>
          <w:b w:val="false"/>
          <w:bCs w:val="false"/>
        </w:rPr>
      </w:pPr>
      <w:r>
        <w:rPr>
          <w:b w:val="false"/>
          <w:bCs w:val="false"/>
        </w:rPr>
        <w:t>Should the ERCOT Board retain an outside firm to establish the creditworthiness standards for market participants that are comparable for all entities in ERCOT? Southern Energy at 4.</w:t>
      </w:r>
    </w:p>
    <w:p>
      <w:pPr>
        <w:pStyle w:val="Subtitle"/>
        <w:rPr>
          <w:b w:val="false"/>
          <w:bCs w:val="false"/>
        </w:rPr>
      </w:pPr>
      <w:r>
        <w:rPr>
          <w:b w:val="false"/>
          <w:bCs w:val="false"/>
        </w:rPr>
      </w:r>
    </w:p>
    <w:p>
      <w:pPr>
        <w:pStyle w:val="Subtitle"/>
        <w:numPr>
          <w:ilvl w:val="0"/>
          <w:numId w:val="17"/>
        </w:numPr>
        <w:rPr>
          <w:b w:val="false"/>
          <w:bCs w:val="false"/>
        </w:rPr>
      </w:pPr>
      <w:r>
        <w:rPr>
          <w:b w:val="false"/>
          <w:bCs w:val="false"/>
        </w:rPr>
        <w:t>Is the Protocol to change Protocols cumbersome and overly prescriptive, especially for non-substantive or minor change? Southern Energy at 4-5.</w:t>
      </w:r>
    </w:p>
    <w:p>
      <w:pPr>
        <w:pStyle w:val="Subtitle"/>
        <w:rPr>
          <w:b w:val="false"/>
          <w:bCs w:val="false"/>
        </w:rPr>
      </w:pPr>
      <w:r>
        <w:rPr>
          <w:b w:val="false"/>
          <w:bCs w:val="false"/>
        </w:rPr>
      </w:r>
    </w:p>
    <w:p>
      <w:pPr>
        <w:pStyle w:val="Subtitle"/>
        <w:numPr>
          <w:ilvl w:val="0"/>
          <w:numId w:val="17"/>
        </w:numPr>
        <w:rPr>
          <w:b w:val="false"/>
          <w:bCs w:val="false"/>
        </w:rPr>
      </w:pPr>
      <w:r>
        <w:rPr>
          <w:b w:val="false"/>
          <w:bCs w:val="false"/>
        </w:rPr>
        <w:t>Should section 8B. (2)© of the standard form agreements be revised to delete language providing that ERCOT “in its sole discretion, may agree…” to assign a right to a participant to collect refunds from another participant.  It should be simply stated that ERCOT makes the assignment? Southern Energy at 5-6.</w:t>
      </w:r>
    </w:p>
    <w:p>
      <w:pPr>
        <w:pStyle w:val="Subtitle"/>
        <w:rPr>
          <w:b w:val="false"/>
          <w:bCs w:val="false"/>
        </w:rPr>
      </w:pPr>
      <w:r>
        <w:rPr>
          <w:b w:val="false"/>
          <w:bCs w:val="false"/>
        </w:rPr>
      </w:r>
    </w:p>
    <w:p>
      <w:pPr>
        <w:pStyle w:val="Subtitle"/>
        <w:numPr>
          <w:ilvl w:val="0"/>
          <w:numId w:val="17"/>
        </w:numPr>
        <w:rPr>
          <w:b w:val="false"/>
          <w:bCs w:val="false"/>
        </w:rPr>
      </w:pPr>
      <w:r>
        <w:rPr>
          <w:b w:val="false"/>
          <w:bCs w:val="false"/>
        </w:rPr>
        <w:t>In ADR, should both parties agree to the process taken and should parties proceed from informal dispute resolution directly to binding arbitration?  Southern Energy at 6-7.</w:t>
      </w:r>
    </w:p>
    <w:p>
      <w:pPr>
        <w:pStyle w:val="Subtitle"/>
        <w:rPr>
          <w:b w:val="false"/>
          <w:bCs w:val="false"/>
        </w:rPr>
      </w:pPr>
      <w:r>
        <w:rPr>
          <w:b w:val="false"/>
          <w:bCs w:val="false"/>
        </w:rPr>
      </w:r>
    </w:p>
    <w:p>
      <w:pPr>
        <w:pStyle w:val="Subtitle"/>
        <w:ind w:start="1800" w:end="0"/>
        <w:rPr>
          <w:b w:val="false"/>
          <w:bCs w:val="false"/>
        </w:rPr>
      </w:pPr>
      <w:r>
        <w:rPr>
          <w:b w:val="false"/>
          <w:bCs w:val="false"/>
        </w:rPr>
        <w:t>SUPPLEMENTAL FILING WILL ADDRESS</w:t>
      </w:r>
    </w:p>
    <w:p>
      <w:pPr>
        <w:pStyle w:val="Subtitle"/>
        <w:rPr>
          <w:b w:val="false"/>
          <w:bCs w:val="false"/>
        </w:rPr>
      </w:pPr>
      <w:r>
        <w:rPr>
          <w:b w:val="false"/>
          <w:bCs w:val="false"/>
        </w:rPr>
      </w:r>
    </w:p>
    <w:p>
      <w:pPr>
        <w:pStyle w:val="Subtitle"/>
        <w:rPr>
          <w:b w:val="false"/>
          <w:bCs w:val="false"/>
        </w:rPr>
      </w:pPr>
      <w:r>
        <w:rPr>
          <w:b w:val="false"/>
          <w:bCs w:val="false"/>
        </w:rPr>
        <w:tab/>
      </w:r>
    </w:p>
    <w:p>
      <w:pPr>
        <w:pStyle w:val="Subtitle"/>
        <w:rPr>
          <w:b w:val="false"/>
          <w:bCs w:val="false"/>
        </w:rPr>
      </w:pPr>
      <w:r>
        <w:rPr>
          <w:b w:val="false"/>
          <w:bCs w:val="false"/>
        </w:rPr>
        <w:tab/>
      </w:r>
      <w:r>
        <w:rPr>
          <w:b w:val="false"/>
          <w:bCs w:val="false"/>
          <w:u w:val="single"/>
        </w:rPr>
        <w:t>South Texas Electric Cooperative</w:t>
      </w:r>
    </w:p>
    <w:p>
      <w:pPr>
        <w:pStyle w:val="Subtitle"/>
        <w:rPr>
          <w:b w:val="false"/>
          <w:bCs w:val="false"/>
        </w:rPr>
      </w:pPr>
      <w:r>
        <w:rPr>
          <w:b w:val="false"/>
          <w:bCs w:val="false"/>
        </w:rPr>
        <w:tab/>
        <w:tab/>
      </w:r>
    </w:p>
    <w:p>
      <w:pPr>
        <w:pStyle w:val="Subtitle"/>
        <w:numPr>
          <w:ilvl w:val="0"/>
          <w:numId w:val="5"/>
        </w:numPr>
        <w:rPr>
          <w:b w:val="false"/>
          <w:bCs w:val="false"/>
        </w:rPr>
      </w:pPr>
      <w:r>
        <w:rPr>
          <w:b w:val="false"/>
          <w:bCs w:val="false"/>
          <w:i/>
          <w:iCs/>
        </w:rPr>
        <w:t>Congestion Management</w:t>
      </w:r>
    </w:p>
    <w:p>
      <w:pPr>
        <w:pStyle w:val="Subtitle"/>
        <w:ind w:start="1800" w:end="0"/>
        <w:rPr>
          <w:b w:val="false"/>
          <w:bCs w:val="false"/>
        </w:rPr>
      </w:pPr>
      <w:r>
        <w:rPr>
          <w:b w:val="false"/>
          <w:bCs w:val="false"/>
        </w:rPr>
      </w:r>
    </w:p>
    <w:p>
      <w:pPr>
        <w:pStyle w:val="Subtitle"/>
        <w:ind w:start="2160" w:end="0"/>
        <w:rPr>
          <w:b w:val="false"/>
          <w:bCs w:val="false"/>
        </w:rPr>
      </w:pPr>
      <w:r>
        <w:rPr>
          <w:b w:val="false"/>
          <w:bCs w:val="false"/>
        </w:rPr>
        <w:t>(1a) Is the application of the $20 million cap on the interim postage stamp allocation method occur during 2001 and is the amount of the cap correct? STEC at 2.</w:t>
      </w:r>
    </w:p>
    <w:p>
      <w:pPr>
        <w:pStyle w:val="Subtitle"/>
        <w:ind w:start="2160" w:end="0"/>
        <w:rPr>
          <w:b w:val="false"/>
          <w:bCs w:val="false"/>
        </w:rPr>
      </w:pPr>
      <w:r>
        <w:rPr>
          <w:b w:val="false"/>
          <w:bCs w:val="false"/>
        </w:rPr>
      </w:r>
    </w:p>
    <w:p>
      <w:pPr>
        <w:pStyle w:val="Subtitle"/>
        <w:ind w:start="2160" w:end="0"/>
        <w:rPr>
          <w:b w:val="false"/>
          <w:bCs w:val="false"/>
        </w:rPr>
      </w:pPr>
      <w:r>
        <w:rPr>
          <w:b w:val="false"/>
          <w:bCs w:val="false"/>
        </w:rPr>
        <w:t>(1b) Should the automatic switchover from the postage stamp to the zonal methodology using TCRs be contingent upon first determining need for the switchover? STEC at 2.</w:t>
      </w:r>
    </w:p>
    <w:p>
      <w:pPr>
        <w:pStyle w:val="Subtitle"/>
        <w:rPr>
          <w:b w:val="false"/>
          <w:bCs w:val="false"/>
        </w:rPr>
      </w:pPr>
      <w:r>
        <w:rPr>
          <w:b w:val="false"/>
          <w:bCs w:val="false"/>
        </w:rPr>
        <w:tab/>
        <w:tab/>
      </w:r>
    </w:p>
    <w:p>
      <w:pPr>
        <w:pStyle w:val="Subtitle"/>
        <w:numPr>
          <w:ilvl w:val="0"/>
          <w:numId w:val="5"/>
        </w:numPr>
        <w:rPr>
          <w:b w:val="false"/>
          <w:bCs w:val="false"/>
        </w:rPr>
      </w:pPr>
      <w:r>
        <w:rPr>
          <w:b w:val="false"/>
          <w:bCs w:val="false"/>
          <w:i/>
          <w:iCs/>
        </w:rPr>
        <w:t>Balancing Energy</w:t>
      </w:r>
    </w:p>
    <w:p>
      <w:pPr>
        <w:pStyle w:val="Subtitle"/>
        <w:ind w:start="1800" w:end="0"/>
        <w:rPr>
          <w:b w:val="false"/>
          <w:bCs w:val="false"/>
        </w:rPr>
      </w:pPr>
      <w:r>
        <w:rPr>
          <w:b w:val="false"/>
          <w:bCs w:val="false"/>
        </w:rPr>
      </w:r>
    </w:p>
    <w:p>
      <w:pPr>
        <w:pStyle w:val="Subtitle"/>
        <w:ind w:start="1800" w:end="0"/>
        <w:rPr>
          <w:b w:val="false"/>
          <w:bCs w:val="false"/>
        </w:rPr>
      </w:pPr>
      <w:r>
        <w:rPr>
          <w:b w:val="false"/>
          <w:bCs w:val="false"/>
        </w:rPr>
        <w:t>Instead of setting the MCPC the highest bid price in the stack, should loads using the resource pay the average price of the bids, and the resources be paid their bid price? STEC at 2.</w:t>
      </w:r>
    </w:p>
    <w:p>
      <w:pPr>
        <w:pStyle w:val="Subtitle"/>
        <w:ind w:start="1800" w:end="0"/>
        <w:rPr>
          <w:b w:val="false"/>
          <w:bCs w:val="false"/>
        </w:rPr>
      </w:pPr>
      <w:r>
        <w:rPr>
          <w:b w:val="false"/>
          <w:bCs w:val="false"/>
        </w:rPr>
      </w:r>
    </w:p>
    <w:p>
      <w:pPr>
        <w:pStyle w:val="Subtitle"/>
        <w:numPr>
          <w:ilvl w:val="0"/>
          <w:numId w:val="5"/>
        </w:numPr>
        <w:rPr>
          <w:b w:val="false"/>
          <w:bCs w:val="false"/>
        </w:rPr>
      </w:pPr>
      <w:r>
        <w:rPr>
          <w:b w:val="false"/>
          <w:bCs w:val="false"/>
          <w:i/>
          <w:iCs/>
        </w:rPr>
        <w:t>Profiling</w:t>
      </w:r>
    </w:p>
    <w:p>
      <w:pPr>
        <w:pStyle w:val="Subtitle"/>
        <w:ind w:start="1800" w:end="0"/>
        <w:rPr>
          <w:b w:val="false"/>
          <w:bCs w:val="false"/>
        </w:rPr>
      </w:pPr>
      <w:r>
        <w:rPr>
          <w:b w:val="false"/>
          <w:bCs w:val="false"/>
        </w:rPr>
      </w:r>
    </w:p>
    <w:p>
      <w:pPr>
        <w:pStyle w:val="Subtitle"/>
        <w:ind w:start="1800" w:end="0"/>
        <w:rPr>
          <w:b w:val="false"/>
          <w:bCs w:val="false"/>
        </w:rPr>
      </w:pPr>
      <w:r>
        <w:rPr>
          <w:b w:val="false"/>
          <w:bCs w:val="false"/>
        </w:rPr>
        <w:t>Should two summers residential profiles are established (the standard one as well as one for customers using 600 KWH or less per month)? STEC at 2-3.</w:t>
      </w:r>
    </w:p>
    <w:p>
      <w:pPr>
        <w:pStyle w:val="Subtitle"/>
        <w:rPr>
          <w:b w:val="false"/>
          <w:bCs w:val="false"/>
        </w:rPr>
      </w:pPr>
      <w:r>
        <w:rPr>
          <w:b w:val="false"/>
          <w:bCs w:val="false"/>
        </w:rPr>
        <w:tab/>
        <w:tab/>
      </w:r>
    </w:p>
    <w:p>
      <w:pPr>
        <w:pStyle w:val="Subtitle"/>
        <w:rPr>
          <w:b w:val="false"/>
          <w:bCs w:val="false"/>
        </w:rPr>
      </w:pPr>
      <w:r>
        <w:rPr>
          <w:b w:val="false"/>
          <w:bCs w:val="false"/>
        </w:rPr>
        <w:tab/>
      </w:r>
      <w:r>
        <w:rPr>
          <w:b w:val="false"/>
          <w:bCs w:val="false"/>
          <w:u w:val="single"/>
        </w:rPr>
        <w:t>Texas Apartment Association</w:t>
      </w:r>
    </w:p>
    <w:p>
      <w:pPr>
        <w:pStyle w:val="Subtitle"/>
        <w:rPr>
          <w:b w:val="false"/>
          <w:bCs w:val="false"/>
        </w:rPr>
      </w:pPr>
      <w:r>
        <w:rPr>
          <w:b w:val="false"/>
          <w:bCs w:val="false"/>
        </w:rPr>
      </w:r>
    </w:p>
    <w:p>
      <w:pPr>
        <w:pStyle w:val="Subtitle"/>
        <w:numPr>
          <w:ilvl w:val="0"/>
          <w:numId w:val="7"/>
        </w:numPr>
        <w:rPr>
          <w:b w:val="false"/>
          <w:bCs w:val="false"/>
        </w:rPr>
      </w:pPr>
      <w:r>
        <w:rPr>
          <w:b w:val="false"/>
          <w:bCs w:val="false"/>
        </w:rPr>
        <w:t>What notice, permission and promptness of transition of electrical services are needed to help the owner maintain the landlord/tenant relationship during move in and move outs and to ensure continuity of service and fairness when electrical providers change? TAA at 1.</w:t>
      </w:r>
    </w:p>
    <w:p>
      <w:pPr>
        <w:pStyle w:val="Subtitle"/>
        <w:rPr>
          <w:b w:val="false"/>
          <w:bCs w:val="false"/>
        </w:rPr>
      </w:pPr>
      <w:r>
        <w:rPr>
          <w:b w:val="false"/>
          <w:bCs w:val="false"/>
        </w:rPr>
      </w:r>
    </w:p>
    <w:p>
      <w:pPr>
        <w:pStyle w:val="Subtitle"/>
        <w:ind w:start="720" w:end="0"/>
        <w:rPr>
          <w:b w:val="false"/>
          <w:bCs w:val="false"/>
        </w:rPr>
      </w:pPr>
      <w:r>
        <w:rPr>
          <w:b w:val="false"/>
          <w:bCs w:val="false"/>
          <w:u w:val="single"/>
        </w:rPr>
        <w:t>Texas Electric Cooperatives, Inc.</w:t>
      </w:r>
    </w:p>
    <w:p>
      <w:pPr>
        <w:pStyle w:val="Subtitle"/>
        <w:ind w:start="720" w:end="0"/>
        <w:rPr>
          <w:b w:val="false"/>
          <w:bCs w:val="false"/>
        </w:rPr>
      </w:pPr>
      <w:r>
        <w:rPr>
          <w:b w:val="false"/>
          <w:bCs w:val="false"/>
        </w:rPr>
      </w:r>
    </w:p>
    <w:p>
      <w:pPr>
        <w:pStyle w:val="Subtitle"/>
        <w:ind w:start="720" w:end="0"/>
        <w:rPr>
          <w:b w:val="false"/>
          <w:bCs w:val="false"/>
        </w:rPr>
      </w:pPr>
      <w:r>
        <w:rPr>
          <w:b w:val="false"/>
          <w:bCs w:val="false"/>
        </w:rPr>
        <w:t>No specific issues.  TEC has concerns with Congestion Management, Ancillary Services, and other aspects of Market Design.  TIEC at 2.</w:t>
      </w:r>
    </w:p>
    <w:p>
      <w:pPr>
        <w:pStyle w:val="Subtitle"/>
        <w:ind w:start="720" w:end="0"/>
        <w:rPr>
          <w:b w:val="false"/>
          <w:bCs w:val="false"/>
        </w:rPr>
      </w:pPr>
      <w:r>
        <w:rPr>
          <w:b w:val="false"/>
          <w:bCs w:val="false"/>
          <w:u w:val="single"/>
        </w:rPr>
        <w:t>Texas Industrial Energy Consumers</w:t>
      </w:r>
    </w:p>
    <w:p>
      <w:pPr>
        <w:pStyle w:val="Subtitle"/>
        <w:numPr>
          <w:ilvl w:val="0"/>
          <w:numId w:val="6"/>
        </w:numPr>
        <w:rPr>
          <w:b w:val="false"/>
          <w:bCs w:val="false"/>
        </w:rPr>
      </w:pPr>
      <w:r>
        <w:rPr>
          <w:b w:val="false"/>
          <w:bCs w:val="false"/>
        </w:rPr>
        <w:t>Should testing for loads acting as a resource is required annually and not seasonally as specified in 6.10.2? TIEC at 2.</w:t>
      </w:r>
    </w:p>
    <w:p>
      <w:pPr>
        <w:pStyle w:val="Subtitle"/>
        <w:numPr>
          <w:ilvl w:val="0"/>
          <w:numId w:val="6"/>
        </w:numPr>
        <w:rPr>
          <w:b w:val="false"/>
          <w:bCs w:val="false"/>
        </w:rPr>
      </w:pPr>
      <w:r>
        <w:rPr>
          <w:b w:val="false"/>
          <w:bCs w:val="false"/>
        </w:rPr>
        <w:t>If a QSE is using load as a resource in its testing for responsive and nonspin reserves, should they have to interrupt the load for such tests or, rather, test the relay system if the load is under the direct control of a NERC certified operation through a SCADA system? TIEC at 2.</w:t>
      </w:r>
    </w:p>
    <w:p>
      <w:pPr>
        <w:pStyle w:val="Subtitle"/>
        <w:numPr>
          <w:ilvl w:val="0"/>
          <w:numId w:val="6"/>
        </w:numPr>
        <w:rPr>
          <w:b w:val="false"/>
          <w:bCs w:val="false"/>
        </w:rPr>
      </w:pPr>
      <w:r>
        <w:rPr>
          <w:b w:val="false"/>
          <w:bCs w:val="false"/>
        </w:rPr>
        <w:t>Should the Protocols reflect the stakeholders’ position that resource may request to have its bid for reg up, reg down, responsive and non spin service skipped over if its bid was 50MW or less rather than requiring provision of a proportionate share of the bid?  TIEC at 2-3. SUPPLEMENT FILING WILL ADDRESS – PIP #210</w:t>
      </w:r>
    </w:p>
    <w:p>
      <w:pPr>
        <w:pStyle w:val="Subtitle"/>
        <w:numPr>
          <w:ilvl w:val="0"/>
          <w:numId w:val="6"/>
        </w:numPr>
        <w:rPr>
          <w:b w:val="false"/>
          <w:bCs w:val="false"/>
        </w:rPr>
      </w:pPr>
      <w:r>
        <w:rPr>
          <w:b w:val="false"/>
          <w:bCs w:val="false"/>
        </w:rPr>
        <w:t>Should there be a 25% cap on loads providing spinning reserves in the Operating Guides?  TIEC at 3</w:t>
      </w:r>
    </w:p>
    <w:p>
      <w:pPr>
        <w:pStyle w:val="Subtitle"/>
        <w:numPr>
          <w:ilvl w:val="0"/>
          <w:numId w:val="6"/>
        </w:numPr>
        <w:rPr>
          <w:b w:val="false"/>
          <w:bCs w:val="false"/>
        </w:rPr>
      </w:pPr>
      <w:r>
        <w:rPr>
          <w:b w:val="false"/>
          <w:bCs w:val="false"/>
        </w:rPr>
        <w:t>Should the Commission oversee the dollar amount of administrative fees that ERCOT may collect from entities?  TIEC at #</w:t>
      </w:r>
    </w:p>
    <w:p>
      <w:pPr>
        <w:pStyle w:val="Subtitle"/>
        <w:ind w:start="720" w:end="0"/>
        <w:rPr>
          <w:b w:val="false"/>
          <w:bCs w:val="false"/>
          <w:u w:val="single"/>
        </w:rPr>
      </w:pPr>
      <w:r>
        <w:rPr>
          <w:b w:val="false"/>
          <w:bCs w:val="false"/>
          <w:u w:val="single"/>
        </w:rPr>
        <w:t>Texas Industries, Inc.</w:t>
      </w:r>
    </w:p>
    <w:p>
      <w:pPr>
        <w:pStyle w:val="Subtitle"/>
        <w:numPr>
          <w:ilvl w:val="0"/>
          <w:numId w:val="12"/>
        </w:numPr>
        <w:rPr>
          <w:b w:val="false"/>
          <w:bCs w:val="false"/>
        </w:rPr>
      </w:pPr>
      <w:r>
        <w:rPr>
          <w:b w:val="false"/>
          <w:bCs w:val="false"/>
        </w:rPr>
        <w:t>Is there sufficiency and practical operation of market mechanisms proposed in the Protocol to permit interruptible load to bid for and provide ancillary services (such as reserves).  TXI at 2. SUPPLEMENTAL FILING WILL ADDRESS – PIP #112 and 210</w:t>
      </w:r>
    </w:p>
    <w:p>
      <w:pPr>
        <w:pStyle w:val="Subtitle"/>
        <w:numPr>
          <w:ilvl w:val="0"/>
          <w:numId w:val="12"/>
        </w:numPr>
        <w:rPr>
          <w:b w:val="false"/>
          <w:bCs w:val="false"/>
        </w:rPr>
      </w:pPr>
      <w:r>
        <w:rPr>
          <w:b w:val="false"/>
          <w:bCs w:val="false"/>
        </w:rPr>
        <w:t>Is there an adequate market mechanism in the Protocols to financially compensate interruptible loads for load shedding to relieve transmission line congestion.TXI at 2.</w:t>
      </w:r>
    </w:p>
    <w:p>
      <w:pPr>
        <w:pStyle w:val="Subtitle"/>
        <w:ind w:hanging="720" w:start="720" w:end="0"/>
        <w:rPr>
          <w:b w:val="false"/>
          <w:bCs w:val="false"/>
          <w:u w:val="single"/>
        </w:rPr>
      </w:pPr>
      <w:r>
        <w:rPr>
          <w:b w:val="false"/>
          <w:bCs w:val="false"/>
          <w:u w:val="single"/>
        </w:rPr>
        <w:t>Texas-New Mexico Power Company</w:t>
      </w:r>
    </w:p>
    <w:p>
      <w:pPr>
        <w:pStyle w:val="Subtitle"/>
        <w:numPr>
          <w:ilvl w:val="0"/>
          <w:numId w:val="9"/>
        </w:numPr>
        <w:rPr>
          <w:b w:val="false"/>
          <w:bCs w:val="false"/>
        </w:rPr>
      </w:pPr>
      <w:r>
        <w:rPr>
          <w:b w:val="false"/>
          <w:bCs w:val="false"/>
        </w:rPr>
        <w:t>Will pricing of power be market driven?  Will prices paid for generation to preserve reliability (including RMR payments) be inflated?  Will local congestion solutions foster competition? TNMP at 1,3.</w:t>
      </w:r>
    </w:p>
    <w:p>
      <w:pPr>
        <w:pStyle w:val="Subtitle"/>
        <w:numPr>
          <w:ilvl w:val="0"/>
          <w:numId w:val="9"/>
        </w:numPr>
        <w:rPr>
          <w:b w:val="false"/>
          <w:bCs w:val="false"/>
        </w:rPr>
      </w:pPr>
      <w:r>
        <w:rPr>
          <w:b w:val="false"/>
          <w:bCs w:val="false"/>
        </w:rPr>
        <w:t>Will uploading of UFE costs for all market participants reduce incentive for a distribution utility to correct factors that cause UFE? TNMP at  1</w:t>
      </w:r>
    </w:p>
    <w:p>
      <w:pPr>
        <w:pStyle w:val="Subtitle"/>
        <w:numPr>
          <w:ilvl w:val="0"/>
          <w:numId w:val="9"/>
        </w:numPr>
        <w:rPr>
          <w:b w:val="false"/>
          <w:bCs w:val="false"/>
        </w:rPr>
      </w:pPr>
      <w:r>
        <w:rPr>
          <w:b w:val="false"/>
          <w:bCs w:val="false"/>
        </w:rPr>
        <w:t>Should interruptible loads be limited in participating in the spinning reserve market as long as participation is designed properly and the system is not adversely affected by the blocked response of load resources?  TNMP at 1-2.</w:t>
      </w:r>
    </w:p>
    <w:p>
      <w:pPr>
        <w:pStyle w:val="Subtitle"/>
        <w:numPr>
          <w:ilvl w:val="0"/>
          <w:numId w:val="9"/>
        </w:numPr>
        <w:rPr>
          <w:b w:val="false"/>
          <w:bCs w:val="false"/>
        </w:rPr>
      </w:pPr>
      <w:r>
        <w:rPr>
          <w:b w:val="false"/>
          <w:bCs w:val="false"/>
        </w:rPr>
        <w:t>Should the Protocols incorporate BUL language to incentive load participation, but monitor the outcome of the theory that during periods of resource scarcity (the capacity price for Non-Spin will be higher, thus encouraging the loads to participate)? TNMP at 2 SUPPLEMENTAL FILING WILL ADDRESS – PIP #112</w:t>
      </w:r>
    </w:p>
    <w:p>
      <w:pPr>
        <w:pStyle w:val="Subtitle"/>
        <w:numPr>
          <w:ilvl w:val="0"/>
          <w:numId w:val="9"/>
        </w:numPr>
        <w:rPr>
          <w:b w:val="false"/>
          <w:bCs w:val="false"/>
        </w:rPr>
      </w:pPr>
      <w:r>
        <w:rPr>
          <w:b w:val="false"/>
          <w:bCs w:val="false"/>
        </w:rPr>
        <w:t>Should the uninstructed deviation calculation be corrected to allow QSE’s to correct for deviations in load resources through the use of genereation rather than separate load and generation calculation.  TNMP at 2-3 SUPPLEMENTAL FILING WILL ADDRESS –PIP# 112</w:t>
      </w:r>
    </w:p>
    <w:p>
      <w:pPr>
        <w:pStyle w:val="Subtitle"/>
        <w:numPr>
          <w:ilvl w:val="0"/>
          <w:numId w:val="9"/>
        </w:numPr>
        <w:rPr>
          <w:b w:val="false"/>
          <w:bCs w:val="false"/>
        </w:rPr>
      </w:pPr>
      <w:r>
        <w:rPr>
          <w:b w:val="false"/>
          <w:bCs w:val="false"/>
        </w:rPr>
        <w:t>Should the north HVDC tie language for owners outside of ERCOT be clarified? TNMP at 3. SUPPLEMENTAL FILINF WILL ADDRESS –PIP # 104</w:t>
      </w:r>
    </w:p>
    <w:p>
      <w:pPr>
        <w:pStyle w:val="Subtitle"/>
        <w:numPr>
          <w:ilvl w:val="0"/>
          <w:numId w:val="9"/>
        </w:numPr>
        <w:rPr>
          <w:b w:val="false"/>
          <w:bCs w:val="false"/>
        </w:rPr>
      </w:pPr>
      <w:r>
        <w:rPr>
          <w:b w:val="false"/>
          <w:bCs w:val="false"/>
        </w:rPr>
        <w:t>Should the ramp rate calculation in SCE equations for balancing energy be clarified? TNMP at 3 SUPPLEMENTAL FILING WILL ADDRESS PIP# 110.</w:t>
      </w:r>
    </w:p>
    <w:p>
      <w:pPr>
        <w:pStyle w:val="Subtitle"/>
        <w:numPr>
          <w:ilvl w:val="0"/>
          <w:numId w:val="9"/>
        </w:numPr>
        <w:rPr>
          <w:b w:val="false"/>
          <w:bCs w:val="false"/>
        </w:rPr>
      </w:pPr>
      <w:r>
        <w:rPr>
          <w:b w:val="false"/>
          <w:bCs w:val="false"/>
        </w:rPr>
        <w:t>Should the Protocols contain language to relax SCE calculation for load acting as resource by allowing the QSE to match the load resource with generation, thus allowing the generation decreases to take the place of load which cannot return load in the specified ramp?  TNMP at 3 SUPPLEMENTAL FIING WILL ADDRESS PIP #110 AND 112.</w:t>
      </w:r>
    </w:p>
    <w:p>
      <w:pPr>
        <w:pStyle w:val="Subtitle"/>
        <w:numPr>
          <w:ilvl w:val="0"/>
          <w:numId w:val="9"/>
        </w:numPr>
        <w:rPr>
          <w:b w:val="false"/>
          <w:bCs w:val="false"/>
        </w:rPr>
      </w:pPr>
      <w:r>
        <w:rPr>
          <w:b w:val="false"/>
          <w:bCs w:val="false"/>
        </w:rPr>
        <w:t>Should there be instructed deviation payments reduction for renewable resources?  TNMP at 3.  SUPPLEMENTAL FILING WILL ADDRESS PIP#115.</w:t>
      </w:r>
    </w:p>
    <w:p>
      <w:pPr>
        <w:pStyle w:val="Subtitle"/>
        <w:numPr>
          <w:ilvl w:val="0"/>
          <w:numId w:val="9"/>
        </w:numPr>
        <w:rPr>
          <w:b w:val="false"/>
          <w:bCs w:val="false"/>
        </w:rPr>
      </w:pPr>
      <w:r>
        <w:rPr>
          <w:b w:val="false"/>
          <w:bCs w:val="false"/>
        </w:rPr>
        <w:t>Will legal and equitable rights be waived through binding arbitration in ADR? TNMP at 3.SUPPLEMENTAL FILING WILL ADDRESS</w:t>
      </w:r>
    </w:p>
    <w:p>
      <w:pPr>
        <w:pStyle w:val="Subtitle"/>
        <w:ind w:start="1440" w:end="0"/>
        <w:rPr>
          <w:b w:val="false"/>
          <w:bCs w:val="false"/>
        </w:rPr>
      </w:pPr>
      <w:r>
        <w:rPr>
          <w:b w:val="false"/>
          <w:bCs w:val="false"/>
        </w:rPr>
      </w:r>
    </w:p>
    <w:p>
      <w:pPr>
        <w:pStyle w:val="Subtitle"/>
        <w:jc w:val="both"/>
        <w:rPr/>
      </w:pPr>
      <w:r>
        <w:rPr>
          <w:b w:val="false"/>
          <w:bCs w:val="false"/>
        </w:rPr>
        <w:t xml:space="preserve">     </w:t>
      </w:r>
      <w:r>
        <w:rPr>
          <w:b w:val="false"/>
          <w:bCs w:val="false"/>
          <w:u w:val="single"/>
        </w:rPr>
        <w:t>Texas Renewable Power Coalition</w:t>
      </w:r>
    </w:p>
    <w:p>
      <w:pPr>
        <w:pStyle w:val="Subtitle"/>
        <w:numPr>
          <w:ilvl w:val="0"/>
          <w:numId w:val="10"/>
        </w:numPr>
        <w:rPr>
          <w:b w:val="false"/>
          <w:bCs w:val="false"/>
        </w:rPr>
      </w:pPr>
      <w:r>
        <w:rPr>
          <w:b w:val="false"/>
          <w:bCs w:val="false"/>
        </w:rPr>
        <w:t>Do the Protocols unfairly impose the recon=very of cost of administering the REC trading program on the renewable energy generators, instead of recovering them on a broader basis from additional market participants as part of the larger ERCOT fee structure?  Should the ERCOT fee be changes to support the REC trading program? Coalition at 1.</w:t>
      </w:r>
    </w:p>
    <w:p>
      <w:pPr>
        <w:pStyle w:val="Subtitle"/>
        <w:rPr/>
      </w:pPr>
      <w:r>
        <w:rPr>
          <w:b w:val="false"/>
          <w:bCs w:val="false"/>
        </w:rPr>
        <w:t xml:space="preserve">     </w:t>
      </w:r>
      <w:r>
        <w:rPr>
          <w:b w:val="false"/>
          <w:bCs w:val="false"/>
          <w:u w:val="single"/>
        </w:rPr>
        <w:t>Lower Colorado River Authority</w:t>
      </w:r>
    </w:p>
    <w:p>
      <w:pPr>
        <w:pStyle w:val="Subtitle"/>
        <w:numPr>
          <w:ilvl w:val="0"/>
          <w:numId w:val="2"/>
        </w:numPr>
        <w:rPr>
          <w:b w:val="false"/>
          <w:bCs w:val="false"/>
        </w:rPr>
      </w:pPr>
      <w:r>
        <w:rPr>
          <w:b w:val="false"/>
          <w:bCs w:val="false"/>
        </w:rPr>
        <w:t>Should Responsive Reserve Service performance requirements be modified to include the use of hydroelectric units?</w:t>
      </w:r>
    </w:p>
    <w:p>
      <w:pPr>
        <w:pStyle w:val="Subtitle"/>
        <w:rPr>
          <w:b w:val="false"/>
          <w:bCs w:val="false"/>
        </w:rPr>
      </w:pPr>
      <w:r>
        <w:rPr>
          <w:b w:val="false"/>
          <w:bCs w:val="false"/>
        </w:rPr>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r>
    </w:p>
    <w:p>
      <w:pPr>
        <w:pStyle w:val="Subtitle"/>
        <w:rPr>
          <w:b w:val="false"/>
          <w:bCs w:val="false"/>
        </w:rPr>
      </w:pPr>
      <w:r>
        <w:rPr>
          <w:b w:val="false"/>
          <w:bCs w:val="false"/>
        </w:rPr>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r>
    </w:p>
    <w:p>
      <w:pPr>
        <w:pStyle w:val="Subtitle"/>
        <w:ind w:start="1440" w:end="0"/>
        <w:rPr>
          <w:b w:val="false"/>
          <w:bCs w:val="false"/>
        </w:rPr>
      </w:pPr>
      <w:r>
        <w:rPr>
          <w:b w:val="false"/>
          <w:bCs w:val="fals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1800"/>
        </w:tabs>
        <w:ind w:start="1800" w:hanging="360"/>
      </w:pPr>
      <w:rPr/>
    </w:lvl>
  </w:abstractNum>
  <w:abstractNum w:abstractNumId="3">
    <w:lvl w:ilvl="0">
      <w:start w:val="1"/>
      <w:numFmt w:val="decimal"/>
      <w:lvlText w:val="%1."/>
      <w:lvlJc w:val="start"/>
      <w:pPr>
        <w:tabs>
          <w:tab w:val="num" w:pos="1440"/>
        </w:tabs>
        <w:ind w:start="1440" w:hanging="72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lvlText w:val="%1."/>
      <w:lvlJc w:val="start"/>
      <w:pPr>
        <w:tabs>
          <w:tab w:val="num" w:pos="1440"/>
        </w:tabs>
        <w:ind w:start="1440" w:hanging="720"/>
      </w:pPr>
      <w:rPr/>
    </w:lvl>
  </w:abstractNum>
  <w:abstractNum w:abstractNumId="5">
    <w:lvl w:ilvl="0">
      <w:start w:val="1"/>
      <w:numFmt w:val="decimal"/>
      <w:lvlText w:val="%1."/>
      <w:lvlJc w:val="start"/>
      <w:pPr>
        <w:tabs>
          <w:tab w:val="num" w:pos="1800"/>
        </w:tabs>
        <w:ind w:start="1800" w:hanging="360"/>
      </w:pPr>
      <w:r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decimal"/>
      <w:lvlText w:val="%1."/>
      <w:lvlJc w:val="start"/>
      <w:pPr>
        <w:tabs>
          <w:tab w:val="num" w:pos="1800"/>
        </w:tabs>
        <w:ind w:start="1800" w:hanging="360"/>
      </w:pPr>
      <w:rPr/>
    </w:lvl>
  </w:abstractNum>
  <w:abstractNum w:abstractNumId="8">
    <w:lvl w:ilvl="0">
      <w:start w:val="1"/>
      <w:numFmt w:val="decimal"/>
      <w:lvlText w:val="%1."/>
      <w:lvlJc w:val="start"/>
      <w:pPr>
        <w:tabs>
          <w:tab w:val="num" w:pos="1140"/>
        </w:tabs>
        <w:ind w:start="1140" w:hanging="420"/>
      </w:pPr>
      <w:rPr/>
    </w:lvl>
  </w:abstractNum>
  <w:abstractNum w:abstractNumId="9">
    <w:lvl w:ilvl="0">
      <w:start w:val="1"/>
      <w:numFmt w:val="decimal"/>
      <w:lvlText w:val="%1."/>
      <w:lvlJc w:val="start"/>
      <w:pPr>
        <w:tabs>
          <w:tab w:val="num" w:pos="1800"/>
        </w:tabs>
        <w:ind w:start="1800" w:hanging="360"/>
      </w:pPr>
      <w:rPr/>
    </w:lvl>
  </w:abstractNum>
  <w:abstractNum w:abstractNumId="10">
    <w:lvl w:ilvl="0">
      <w:start w:val="1"/>
      <w:numFmt w:val="decimal"/>
      <w:lvlText w:val="%1."/>
      <w:lvlJc w:val="start"/>
      <w:pPr>
        <w:tabs>
          <w:tab w:val="num" w:pos="1920"/>
        </w:tabs>
        <w:ind w:start="1920" w:hanging="360"/>
      </w:pPr>
      <w:rPr/>
    </w:lvl>
  </w:abstractNum>
  <w:abstractNum w:abstractNumId="11">
    <w:lvl w:ilvl="0">
      <w:start w:val="1"/>
      <w:numFmt w:val="decimal"/>
      <w:lvlText w:val="%1."/>
      <w:lvlJc w:val="start"/>
      <w:pPr>
        <w:tabs>
          <w:tab w:val="num" w:pos="1440"/>
        </w:tabs>
        <w:ind w:start="1440" w:hanging="720"/>
      </w:pPr>
      <w:rPr/>
    </w:lvl>
  </w:abstractNum>
  <w:abstractNum w:abstractNumId="12">
    <w:lvl w:ilvl="0">
      <w:start w:val="1"/>
      <w:numFmt w:val="decimal"/>
      <w:lvlText w:val="%1."/>
      <w:lvlJc w:val="start"/>
      <w:pPr>
        <w:tabs>
          <w:tab w:val="num" w:pos="1800"/>
        </w:tabs>
        <w:ind w:start="1800" w:hanging="360"/>
      </w:pPr>
      <w:rPr/>
    </w:lvl>
  </w:abstractNum>
  <w:abstractNum w:abstractNumId="13">
    <w:lvl w:ilvl="0">
      <w:start w:val="1"/>
      <w:numFmt w:val="decimal"/>
      <w:lvlText w:val="%1."/>
      <w:lvlJc w:val="start"/>
      <w:pPr>
        <w:tabs>
          <w:tab w:val="num" w:pos="1800"/>
        </w:tabs>
        <w:ind w:start="1800" w:hanging="360"/>
      </w:pPr>
      <w:rPr/>
    </w:lvl>
  </w:abstractNum>
  <w:abstractNum w:abstractNumId="14">
    <w:lvl w:ilvl="0">
      <w:start w:val="1"/>
      <w:numFmt w:val="decimal"/>
      <w:lvlText w:val="%1."/>
      <w:lvlJc w:val="start"/>
      <w:pPr>
        <w:tabs>
          <w:tab w:val="num" w:pos="1440"/>
        </w:tabs>
        <w:ind w:start="1440" w:hanging="720"/>
      </w:pPr>
      <w:rPr/>
    </w:lvl>
  </w:abstractNum>
  <w:abstractNum w:abstractNumId="15">
    <w:lvl w:ilvl="0">
      <w:start w:val="1"/>
      <w:numFmt w:val="decimal"/>
      <w:lvlText w:val="%1."/>
      <w:lvlJc w:val="start"/>
      <w:pPr>
        <w:tabs>
          <w:tab w:val="num" w:pos="1440"/>
        </w:tabs>
        <w:ind w:start="1440" w:hanging="720"/>
      </w:pPr>
      <w:rPr/>
    </w:lvl>
  </w:abstractNum>
  <w:abstractNum w:abstractNumId="16">
    <w:lvl w:ilvl="0">
      <w:start w:val="1"/>
      <w:numFmt w:val="decimal"/>
      <w:lvlText w:val="%1."/>
      <w:lvlJc w:val="start"/>
      <w:pPr>
        <w:tabs>
          <w:tab w:val="num" w:pos="1080"/>
        </w:tabs>
        <w:ind w:start="1080" w:hanging="720"/>
      </w:pPr>
      <w:rPr/>
    </w:lvl>
  </w:abstractNum>
  <w:abstractNum w:abstractNumId="17">
    <w:lvl w:ilvl="0">
      <w:start w:val="1"/>
      <w:numFmt w:val="decimal"/>
      <w:lvlText w:val="%1."/>
      <w:lvlJc w:val="start"/>
      <w:pPr>
        <w:tabs>
          <w:tab w:val="num" w:pos="1800"/>
        </w:tabs>
        <w:ind w:start="1800" w:hanging="360"/>
      </w:pPr>
      <w:rPr/>
    </w:lvl>
  </w:abstractNum>
  <w:abstractNum w:abstractNumId="1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2001-01-16T14:28:00Z</dcterms:created>
  <dc:creator>kgil</dc:creator>
  <dc:description/>
  <dc:language>en-CA</dc:language>
  <cp:lastModifiedBy>rkittel</cp:lastModifiedBy>
  <dcterms:modified xsi:type="dcterms:W3CDTF">2001-01-16T19:50:00Z</dcterms:modified>
  <cp:revision>2</cp:revision>
  <dc:subject/>
  <dc:title>Public Utility Commission Issue:</dc:title>
</cp:coreProperties>
</file>