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G-SingleSp"/>
        <w:spacing w:before="0" w:after="0"/>
        <w:jc w:val="end"/>
        <w:rPr>
          <w:b/>
        </w:rPr>
      </w:pPr>
      <w:r>
        <w:rPr>
          <w:b/>
        </w:rPr>
        <w:t>Revised Draft</w:t>
      </w:r>
    </w:p>
    <w:p>
      <w:pPr>
        <w:pStyle w:val="CG-SingleSp"/>
        <w:jc w:val="end"/>
        <w:rPr/>
      </w:pPr>
      <w:r>
        <w:rPr/>
        <w:t xml:space="preserve">May </w:t>
      </w:r>
      <w:r>
        <w:rPr>
          <w:b/>
        </w:rPr>
        <w:t>3</w:t>
      </w:r>
      <w:r>
        <w:rPr/>
        <w:t>, 2000</w:t>
      </w:r>
    </w:p>
    <w:p>
      <w:pPr>
        <w:pStyle w:val="CG-SingleSp"/>
        <w:jc w:val="end"/>
        <w:rPr/>
      </w:pPr>
      <w:r>
        <w:rPr/>
      </w:r>
    </w:p>
    <w:p>
      <w:pPr>
        <w:pStyle w:val="CG-SingleSp"/>
        <w:rPr>
          <w:b/>
        </w:rPr>
      </w:pPr>
      <w:r>
        <w:rPr>
          <w:b/>
        </w:rPr>
        <w:t>Bold text represents additions to the Chicago draft proposed by the Coalition/ISDA</w:t>
      </w:r>
    </w:p>
    <w:p>
      <w:pPr>
        <w:pStyle w:val="CG-SingleSp"/>
        <w:jc w:val="end"/>
        <w:rPr>
          <w:b/>
        </w:rPr>
      </w:pPr>
      <w:r>
        <w:rPr>
          <w:b/>
        </w:rPr>
      </w:r>
    </w:p>
    <w:p>
      <w:pPr>
        <w:pStyle w:val="CG-SingleSp"/>
        <w:spacing w:before="0" w:after="0"/>
        <w:jc w:val="center"/>
        <w:rPr/>
      </w:pPr>
      <w:r>
        <w:rPr/>
        <w:t>Draft Explanation of the Requirement that Excluded</w:t>
      </w:r>
    </w:p>
    <w:p>
      <w:pPr>
        <w:pStyle w:val="CG-SingleSp"/>
        <w:spacing w:before="0" w:after="0"/>
        <w:jc w:val="center"/>
        <w:rPr/>
      </w:pPr>
      <w:r>
        <w:rPr>
          <w:u w:val="single"/>
        </w:rPr>
        <w:t xml:space="preserve">Transactions </w:t>
      </w:r>
      <w:r>
        <w:rPr>
          <w:b/>
          <w:u w:val="single"/>
        </w:rPr>
        <w:t xml:space="preserve">Conducted on Trading Facilities </w:t>
      </w:r>
      <w:r>
        <w:rPr>
          <w:u w:val="single"/>
        </w:rPr>
        <w:t>be Executed on a Principal-to-Principal Basis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480"/>
        <w:rPr/>
      </w:pPr>
      <w:r>
        <w:rPr/>
        <w:tab/>
        <w:tab/>
        <w:t xml:space="preserve">The draft legislation would make certain agreements, contracts or transactions </w:t>
      </w:r>
      <w:r>
        <w:rPr>
          <w:b/>
        </w:rPr>
        <w:t xml:space="preserve">conducted on trading facilities </w:t>
      </w:r>
      <w:r>
        <w:rPr/>
        <w:t xml:space="preserve">eligible for exclusion from the Commodity Exchange Act if entered into by the parties as </w:t>
      </w:r>
      <w:r>
        <w:rPr>
          <w:u w:val="single"/>
        </w:rPr>
        <w:t>bona</w:t>
      </w:r>
      <w:r>
        <w:rPr/>
        <w:t xml:space="preserve"> </w:t>
      </w:r>
      <w:r>
        <w:rPr>
          <w:u w:val="single"/>
        </w:rPr>
        <w:t>fide</w:t>
      </w:r>
      <w:r>
        <w:rPr/>
        <w:t xml:space="preserve"> principal-to-principal transactions.  These provisions are intended to allow intermediaries to enter into excluded transactions </w:t>
      </w:r>
      <w:r>
        <w:rPr>
          <w:b/>
        </w:rPr>
        <w:t>on trading facilities</w:t>
      </w:r>
      <w:r>
        <w:rPr/>
        <w:t xml:space="preserve"> when trading for their own account and economic risk.  The exclusion is not intended to permit intermediaries to execute transactions in circumstances where the intermediary </w:t>
      </w:r>
      <w:r>
        <w:rPr>
          <w:b/>
        </w:rPr>
        <w:t>has agreed with a counterparty</w:t>
      </w:r>
      <w:r>
        <w:rPr/>
        <w:t xml:space="preserve"> that such transactions by the intermediary will be executed </w:t>
      </w:r>
      <w:r>
        <w:rPr>
          <w:b/>
        </w:rPr>
        <w:t xml:space="preserve">solely </w:t>
      </w:r>
      <w:r>
        <w:rPr/>
        <w:t xml:space="preserve">for the actual economic risk and benefit of a </w:t>
      </w:r>
      <w:r>
        <w:rPr>
          <w:b/>
        </w:rPr>
        <w:t>counterparty</w:t>
      </w:r>
      <w:r>
        <w:rPr/>
        <w:t xml:space="preserve"> on a basis that is riskless to the intermediary.  </w:t>
      </w:r>
      <w:r>
        <w:rPr>
          <w:b/>
        </w:rPr>
        <w:t>The principal-to-principal requirement under the exclusion does not preclude an intermediary from entering into a back-to-back transaction, for its own account and economic risk, to hedge the market, credit or other risks incident to a transaction with a counterparty.</w:t>
      </w:r>
      <w:r>
        <w:rPr/>
        <w:t xml:space="preserve">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192"/>
      <w:gridCol w:w="3192"/>
      <w:gridCol w:w="3192"/>
    </w:tblGrid>
    <w:tr>
      <w:trPr>
        <w:trHeight w:val="480" w:hRule="exact"/>
      </w:trPr>
      <w:tc>
        <w:tcPr>
          <w:tcW w:w="3192" w:type="dxa"/>
          <w:tcBorders/>
          <w:vAlign w:val="bottom"/>
        </w:tcPr>
        <w:p>
          <w:pPr>
            <w:pStyle w:val="Footer"/>
            <w:rPr/>
          </w:pPr>
          <w:r>
            <w:rPr>
              <w:rStyle w:val="iManageFooter"/>
            </w:rPr>
            <w:fldChar w:fldCharType="begin"/>
          </w:r>
          <w:r>
            <w:rPr>
              <w:rStyle w:val="iManageFooter"/>
            </w:rPr>
            <w:instrText xml:space="preserve"> DOCPROPERTY "DocLibrary"</w:instrText>
          </w:r>
          <w:r>
            <w:rPr>
              <w:rStyle w:val="iManageFooter"/>
            </w:rPr>
            <w:fldChar w:fldCharType="separate"/>
          </w:r>
          <w:r>
            <w:rPr>
              <w:rStyle w:val="iManageFooter"/>
            </w:rPr>
          </w:r>
          <w:r>
            <w:rPr>
              <w:rStyle w:val="iManageFooter"/>
            </w:rPr>
            <w:fldChar w:fldCharType="end"/>
          </w:r>
          <w:r>
            <w:rPr>
              <w:rStyle w:val="iManageFooter"/>
            </w:rPr>
            <w:fldChar w:fldCharType="begin"/>
          </w:r>
          <w:r>
            <w:rPr>
              <w:rStyle w:val="iManageFooter"/>
            </w:rPr>
            <w:instrText xml:space="preserve"> DOCPROPERTY "DocNumber"</w:instrText>
          </w:r>
          <w:r>
            <w:rPr>
              <w:rStyle w:val="iManageFooter"/>
            </w:rPr>
            <w:fldChar w:fldCharType="separate"/>
          </w:r>
          <w:r>
            <w:rPr>
              <w:rStyle w:val="iManageFooter"/>
            </w:rPr>
          </w:r>
          <w:r>
            <w:rPr>
              <w:rStyle w:val="iManageFooter"/>
            </w:rPr>
            <w:fldChar w:fldCharType="end"/>
          </w:r>
          <w:r>
            <w:rPr>
              <w:rStyle w:val="iManageFooter"/>
            </w:rPr>
            <w:fldChar w:fldCharType="begin"/>
          </w:r>
          <w:r>
            <w:rPr>
              <w:rStyle w:val="iManageFooter"/>
            </w:rPr>
            <w:instrText xml:space="preserve"> DOCPROPERTY "DocVersion"</w:instrText>
          </w:r>
          <w:r>
            <w:rPr>
              <w:rStyle w:val="iManageFooter"/>
            </w:rPr>
            <w:fldChar w:fldCharType="separate"/>
          </w:r>
          <w:r>
            <w:rPr>
              <w:rStyle w:val="iManageFooter"/>
            </w:rPr>
          </w:r>
          <w:r>
            <w:rPr>
              <w:rStyle w:val="iManageFooter"/>
            </w:rPr>
            <w:fldChar w:fldCharType="end"/>
          </w:r>
          <w:r>
            <w:rPr>
              <w:rStyle w:val="iManageFooter"/>
            </w:rPr>
            <w:t xml:space="preserve">  </w:t>
          </w:r>
        </w:p>
      </w:tc>
      <w:tc>
        <w:tcPr>
          <w:tcW w:w="3192" w:type="dxa"/>
          <w:tcBorders/>
        </w:tcPr>
        <w:p>
          <w:pPr>
            <w:pStyle w:val="Footer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</w:p>
      </w:tc>
      <w:tc>
        <w:tcPr>
          <w:tcW w:w="3192" w:type="dxa"/>
          <w:tcBorders/>
        </w:tcPr>
        <w:p>
          <w:pPr>
            <w:pStyle w:val="Footer"/>
            <w:jc w:val="end"/>
            <w:rPr>
              <w:rStyle w:val="FooterRightSideText"/>
            </w:rPr>
          </w:pPr>
          <w:r>
            <w:rPr>
              <w:rStyle w:val="FooterRightSideText"/>
            </w:rPr>
            <w:fldChar w:fldCharType="begin"/>
          </w:r>
          <w:r>
            <w:rPr>
              <w:rStyle w:val="FooterRightSideText"/>
            </w:rPr>
            <w:instrText xml:space="preserve"> DOCPROPERTY "FooterRightSideText"</w:instrText>
          </w:r>
          <w:r>
            <w:rPr>
              <w:rStyle w:val="FooterRightSideText"/>
            </w:rPr>
            <w:fldChar w:fldCharType="separate"/>
          </w:r>
          <w:r>
            <w:rPr>
              <w:rStyle w:val="FooterRightSideText"/>
            </w:rPr>
            <w:t xml:space="preserve"> </w:t>
          </w:r>
          <w:r>
            <w:rPr>
              <w:rStyle w:val="FooterRightSideText"/>
            </w:rPr>
            <w:fldChar w:fldCharType="end"/>
          </w:r>
        </w:p>
      </w:tc>
    </w:tr>
  </w:tbl>
  <w:p>
    <w:pPr>
      <w:pStyle w:val="Footer"/>
      <w:spacing w:lineRule="exact" w:line="60"/>
      <w:rPr>
        <w:rStyle w:val="FooterRightSideText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192"/>
      <w:gridCol w:w="3192"/>
      <w:gridCol w:w="3192"/>
    </w:tblGrid>
    <w:tr>
      <w:trPr>
        <w:trHeight w:val="480" w:hRule="exact"/>
      </w:trPr>
      <w:tc>
        <w:tcPr>
          <w:tcW w:w="3192" w:type="dxa"/>
          <w:tcBorders/>
          <w:vAlign w:val="bottom"/>
        </w:tcPr>
        <w:p>
          <w:pPr>
            <w:pStyle w:val="Footer"/>
            <w:rPr/>
          </w:pPr>
          <w:r>
            <w:rPr>
              <w:rStyle w:val="iManageFooter"/>
            </w:rPr>
            <w:fldChar w:fldCharType="begin"/>
          </w:r>
          <w:r>
            <w:rPr>
              <w:rStyle w:val="iManageFooter"/>
            </w:rPr>
            <w:instrText xml:space="preserve"> DOCPROPERTY "DocLibrary"</w:instrText>
          </w:r>
          <w:r>
            <w:rPr>
              <w:rStyle w:val="iManageFooter"/>
            </w:rPr>
            <w:fldChar w:fldCharType="separate"/>
          </w:r>
          <w:r>
            <w:rPr>
              <w:rStyle w:val="iManageFooter"/>
            </w:rPr>
          </w:r>
          <w:r>
            <w:rPr>
              <w:rStyle w:val="iManageFooter"/>
            </w:rPr>
            <w:fldChar w:fldCharType="end"/>
          </w:r>
          <w:r>
            <w:rPr>
              <w:rStyle w:val="iManageFooter"/>
            </w:rPr>
            <w:fldChar w:fldCharType="begin"/>
          </w:r>
          <w:r>
            <w:rPr>
              <w:rStyle w:val="iManageFooter"/>
            </w:rPr>
            <w:instrText xml:space="preserve"> DOCPROPERTY "DocNumber"</w:instrText>
          </w:r>
          <w:r>
            <w:rPr>
              <w:rStyle w:val="iManageFooter"/>
            </w:rPr>
            <w:fldChar w:fldCharType="separate"/>
          </w:r>
          <w:r>
            <w:rPr>
              <w:rStyle w:val="iManageFooter"/>
            </w:rPr>
          </w:r>
          <w:r>
            <w:rPr>
              <w:rStyle w:val="iManageFooter"/>
            </w:rPr>
            <w:fldChar w:fldCharType="end"/>
          </w:r>
          <w:r>
            <w:rPr>
              <w:rStyle w:val="iManageFooter"/>
            </w:rPr>
            <w:fldChar w:fldCharType="begin"/>
          </w:r>
          <w:r>
            <w:rPr>
              <w:rStyle w:val="iManageFooter"/>
            </w:rPr>
            <w:instrText xml:space="preserve"> DOCPROPERTY "DocVersion"</w:instrText>
          </w:r>
          <w:r>
            <w:rPr>
              <w:rStyle w:val="iManageFooter"/>
            </w:rPr>
            <w:fldChar w:fldCharType="separate"/>
          </w:r>
          <w:r>
            <w:rPr>
              <w:rStyle w:val="iManageFooter"/>
            </w:rPr>
          </w:r>
          <w:r>
            <w:rPr>
              <w:rStyle w:val="iManageFooter"/>
            </w:rPr>
            <w:fldChar w:fldCharType="end"/>
          </w:r>
          <w:r>
            <w:rPr>
              <w:rStyle w:val="iManageFooter"/>
            </w:rPr>
            <w:t xml:space="preserve">  </w:t>
          </w:r>
        </w:p>
      </w:tc>
      <w:tc>
        <w:tcPr>
          <w:tcW w:w="3192" w:type="dxa"/>
          <w:tcBorders/>
        </w:tcPr>
        <w:p>
          <w:pPr>
            <w:pStyle w:val="Footer"/>
            <w:snapToGrid w:val="false"/>
            <w:jc w:val="center"/>
            <w:rPr>
              <w:rStyle w:val="iManageFooter"/>
            </w:rPr>
          </w:pPr>
          <w:r>
            <w:rPr/>
          </w:r>
        </w:p>
      </w:tc>
      <w:tc>
        <w:tcPr>
          <w:tcW w:w="3192" w:type="dxa"/>
          <w:tcBorders/>
        </w:tcPr>
        <w:p>
          <w:pPr>
            <w:pStyle w:val="Footer"/>
            <w:jc w:val="end"/>
            <w:rPr>
              <w:rStyle w:val="FooterRightSideText"/>
            </w:rPr>
          </w:pPr>
          <w:r>
            <w:rPr>
              <w:rStyle w:val="FooterRightSideText"/>
            </w:rPr>
            <w:fldChar w:fldCharType="begin"/>
          </w:r>
          <w:r>
            <w:rPr>
              <w:rStyle w:val="FooterRightSideText"/>
            </w:rPr>
            <w:instrText xml:space="preserve"> DOCPROPERTY "FooterRightSideText"</w:instrText>
          </w:r>
          <w:r>
            <w:rPr>
              <w:rStyle w:val="FooterRightSideText"/>
            </w:rPr>
            <w:fldChar w:fldCharType="separate"/>
          </w:r>
          <w:r>
            <w:rPr>
              <w:rStyle w:val="FooterRightSideText"/>
            </w:rPr>
            <w:t xml:space="preserve"> </w:t>
          </w:r>
          <w:r>
            <w:rPr>
              <w:rStyle w:val="FooterRightSideText"/>
            </w:rPr>
            <w:fldChar w:fldCharType="end"/>
          </w:r>
        </w:p>
      </w:tc>
    </w:tr>
  </w:tbl>
  <w:p>
    <w:pPr>
      <w:pStyle w:val="Footer"/>
      <w:spacing w:lineRule="exact" w:line="60"/>
      <w:rPr>
        <w:rStyle w:val="FooterRightSideText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lowerRoman"/>
      <w:lvlText w:val="(%1)"/>
      <w:lvlJc w:val="end"/>
      <w:pPr>
        <w:tabs>
          <w:tab w:val="num" w:pos="504"/>
        </w:tabs>
        <w:ind w:start="504" w:hanging="216"/>
      </w:pPr>
    </w:lvl>
  </w:abstractNum>
  <w:abstractNum w:abstractNumId="7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erRightSideText">
    <w:name w:val="FooterRightSideText"/>
    <w:basedOn w:val="DefaultParagraphFont"/>
    <w:qFormat/>
    <w:rPr/>
  </w:style>
  <w:style w:type="character" w:styleId="iManageFooter">
    <w:name w:val="iManage Footer"/>
    <w:basedOn w:val="DefaultParagraphFont"/>
    <w:qFormat/>
    <w:rPr>
      <w:sz w:val="16"/>
      <w:lang w:val="en-CA" w:eastAsia="en-CA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G-Bullet">
    <w:name w:val="CG-Bullet"/>
    <w:basedOn w:val="Normal"/>
    <w:qFormat/>
    <w:pPr>
      <w:numPr>
        <w:ilvl w:val="0"/>
        <w:numId w:val="4"/>
      </w:numPr>
    </w:pPr>
    <w:rPr>
      <w:sz w:val="24"/>
    </w:rPr>
  </w:style>
  <w:style w:type="paragraph" w:styleId="CG-DblInd05">
    <w:name w:val="CG-Dbl Ind 0.5"/>
    <w:basedOn w:val="Normal"/>
    <w:qFormat/>
    <w:pPr>
      <w:spacing w:before="0" w:after="240"/>
      <w:ind w:hanging="0" w:start="720" w:end="720"/>
    </w:pPr>
    <w:rPr>
      <w:sz w:val="24"/>
    </w:rPr>
  </w:style>
  <w:style w:type="paragraph" w:styleId="CG-DblInd1">
    <w:name w:val="CG-Dbl Ind 1"/>
    <w:basedOn w:val="Normal"/>
    <w:qFormat/>
    <w:pPr>
      <w:spacing w:before="0" w:after="240"/>
      <w:ind w:hanging="0" w:start="1440" w:end="1440"/>
    </w:pPr>
    <w:rPr>
      <w:sz w:val="24"/>
    </w:rPr>
  </w:style>
  <w:style w:type="paragraph" w:styleId="CG-DblSp05">
    <w:name w:val="CG-Dbl Sp 0.5"/>
    <w:basedOn w:val="Normal"/>
    <w:qFormat/>
    <w:pPr>
      <w:spacing w:lineRule="auto" w:line="480"/>
      <w:ind w:firstLine="720" w:start="0" w:end="0"/>
    </w:pPr>
    <w:rPr>
      <w:sz w:val="24"/>
    </w:rPr>
  </w:style>
  <w:style w:type="paragraph" w:styleId="CG-DblSp1">
    <w:name w:val="CG-Dbl Sp 1"/>
    <w:basedOn w:val="Normal"/>
    <w:qFormat/>
    <w:pPr>
      <w:spacing w:lineRule="auto" w:line="480"/>
      <w:ind w:firstLine="1440" w:start="0" w:end="0"/>
    </w:pPr>
    <w:rPr>
      <w:sz w:val="24"/>
    </w:rPr>
  </w:style>
  <w:style w:type="paragraph" w:styleId="CG-DblSp">
    <w:name w:val="CG-Dbl Sp"/>
    <w:basedOn w:val="Normal"/>
    <w:qFormat/>
    <w:pPr>
      <w:spacing w:lineRule="auto" w:line="480"/>
    </w:pPr>
    <w:rPr>
      <w:sz w:val="24"/>
    </w:rPr>
  </w:style>
  <w:style w:type="paragraph" w:styleId="CG-LeftInd05FL05">
    <w:name w:val="CG-Left Ind 0.5 FL 0.5"/>
    <w:basedOn w:val="Normal"/>
    <w:qFormat/>
    <w:pPr>
      <w:spacing w:before="0" w:after="240"/>
      <w:ind w:firstLine="720" w:start="720" w:end="0"/>
    </w:pPr>
    <w:rPr>
      <w:sz w:val="24"/>
    </w:rPr>
  </w:style>
  <w:style w:type="paragraph" w:styleId="CG-LeftInd05">
    <w:name w:val="CG-Left Ind 0.5"/>
    <w:basedOn w:val="Normal"/>
    <w:qFormat/>
    <w:pPr>
      <w:spacing w:before="0" w:after="240"/>
      <w:ind w:hanging="0" w:start="720" w:end="0"/>
    </w:pPr>
    <w:rPr>
      <w:sz w:val="24"/>
    </w:rPr>
  </w:style>
  <w:style w:type="paragraph" w:styleId="CG-LeftInd1">
    <w:name w:val="CG-Left Ind 1"/>
    <w:basedOn w:val="Normal"/>
    <w:qFormat/>
    <w:pPr>
      <w:spacing w:before="0" w:after="240"/>
      <w:ind w:hanging="0" w:start="1440" w:end="0"/>
    </w:pPr>
    <w:rPr>
      <w:sz w:val="24"/>
    </w:rPr>
  </w:style>
  <w:style w:type="paragraph" w:styleId="CG-NumberA">
    <w:name w:val="CG-Number A"/>
    <w:basedOn w:val="Normal"/>
    <w:qFormat/>
    <w:pPr>
      <w:numPr>
        <w:ilvl w:val="0"/>
        <w:numId w:val="5"/>
      </w:numPr>
      <w:spacing w:before="0" w:after="240"/>
    </w:pPr>
    <w:rPr>
      <w:sz w:val="24"/>
    </w:rPr>
  </w:style>
  <w:style w:type="paragraph" w:styleId="CG-NumberL">
    <w:name w:val="CG-Number L"/>
    <w:basedOn w:val="Normal"/>
    <w:qFormat/>
    <w:pPr>
      <w:numPr>
        <w:ilvl w:val="0"/>
        <w:numId w:val="3"/>
      </w:numPr>
      <w:ind w:hanging="720" w:start="1440" w:end="0"/>
    </w:pPr>
    <w:rPr>
      <w:sz w:val="24"/>
    </w:rPr>
  </w:style>
  <w:style w:type="paragraph" w:styleId="CG-Numberl1">
    <w:name w:val="CG-Number l1"/>
    <w:basedOn w:val="Normal"/>
    <w:qFormat/>
    <w:pPr>
      <w:numPr>
        <w:ilvl w:val="0"/>
        <w:numId w:val="7"/>
      </w:numPr>
      <w:ind w:hanging="720" w:start="1440" w:end="0"/>
    </w:pPr>
    <w:rPr>
      <w:sz w:val="24"/>
    </w:rPr>
  </w:style>
  <w:style w:type="paragraph" w:styleId="CG-NumberR">
    <w:name w:val="CG-Number R"/>
    <w:basedOn w:val="Normal"/>
    <w:qFormat/>
    <w:pPr>
      <w:numPr>
        <w:ilvl w:val="0"/>
        <w:numId w:val="8"/>
      </w:numPr>
      <w:ind w:hanging="0" w:start="1440" w:end="0"/>
    </w:pPr>
    <w:rPr>
      <w:sz w:val="24"/>
    </w:rPr>
  </w:style>
  <w:style w:type="paragraph" w:styleId="CG-Numberr1">
    <w:name w:val="CG-Number r1"/>
    <w:basedOn w:val="Normal"/>
    <w:qFormat/>
    <w:pPr>
      <w:numPr>
        <w:ilvl w:val="0"/>
        <w:numId w:val="6"/>
      </w:numPr>
      <w:tabs>
        <w:tab w:val="clear" w:pos="720"/>
      </w:tabs>
      <w:ind w:hanging="720" w:start="1440" w:end="0"/>
    </w:pPr>
    <w:rPr>
      <w:sz w:val="24"/>
    </w:rPr>
  </w:style>
  <w:style w:type="paragraph" w:styleId="CG-SigLeft">
    <w:name w:val="CG-Sig Left"/>
    <w:basedOn w:val="Normal"/>
    <w:qFormat/>
    <w:pPr>
      <w:keepLines/>
      <w:tabs>
        <w:tab w:val="clear" w:pos="720"/>
        <w:tab w:val="left" w:pos="360" w:leader="none"/>
        <w:tab w:val="left" w:pos="4050" w:leader="none"/>
      </w:tabs>
      <w:spacing w:before="0" w:after="480"/>
      <w:ind w:hanging="360" w:start="360" w:end="0"/>
    </w:pPr>
    <w:rPr>
      <w:sz w:val="24"/>
    </w:rPr>
  </w:style>
  <w:style w:type="paragraph" w:styleId="CG-SigLtr">
    <w:name w:val="CG-Sig Ltr"/>
    <w:basedOn w:val="Normal"/>
    <w:qFormat/>
    <w:pPr>
      <w:keepNext w:val="true"/>
      <w:spacing w:before="0" w:after="720"/>
      <w:ind w:hanging="0" w:start="5040" w:end="0"/>
    </w:pPr>
    <w:rPr>
      <w:sz w:val="24"/>
    </w:rPr>
  </w:style>
  <w:style w:type="paragraph" w:styleId="CG-Sig">
    <w:name w:val="CG-Sig"/>
    <w:basedOn w:val="Normal"/>
    <w:qFormat/>
    <w:pPr>
      <w:keepLines/>
      <w:tabs>
        <w:tab w:val="clear" w:pos="720"/>
        <w:tab w:val="left" w:pos="5400" w:leader="none"/>
        <w:tab w:val="left" w:pos="8640" w:leader="none"/>
      </w:tabs>
      <w:spacing w:before="0" w:after="480"/>
      <w:ind w:hanging="360" w:start="5400" w:end="0"/>
    </w:pPr>
    <w:rPr>
      <w:sz w:val="24"/>
    </w:rPr>
  </w:style>
  <w:style w:type="paragraph" w:styleId="CG-SingleSp05">
    <w:name w:val="CG-Single Sp 0.5"/>
    <w:basedOn w:val="Normal"/>
    <w:qFormat/>
    <w:pPr>
      <w:spacing w:before="0" w:after="240"/>
      <w:ind w:firstLine="720" w:start="0" w:end="0"/>
    </w:pPr>
    <w:rPr>
      <w:sz w:val="24"/>
    </w:rPr>
  </w:style>
  <w:style w:type="paragraph" w:styleId="CG-SingleSp1">
    <w:name w:val="CG-Single Sp 1"/>
    <w:basedOn w:val="Normal"/>
    <w:qFormat/>
    <w:pPr>
      <w:spacing w:before="0" w:after="240"/>
      <w:ind w:firstLine="1440" w:start="0" w:end="0"/>
    </w:pPr>
    <w:rPr>
      <w:sz w:val="24"/>
    </w:rPr>
  </w:style>
  <w:style w:type="paragraph" w:styleId="CG-SingleSp">
    <w:name w:val="CG-Single Sp"/>
    <w:basedOn w:val="Normal"/>
    <w:qFormat/>
    <w:pPr>
      <w:spacing w:before="0" w:after="240"/>
    </w:pPr>
    <w:rPr>
      <w:sz w:val="24"/>
    </w:rPr>
  </w:style>
  <w:style w:type="paragraph" w:styleId="CG-Title-Center-Bold">
    <w:name w:val="CG-Title-Center-Bold"/>
    <w:basedOn w:val="Normal"/>
    <w:next w:val="CG-SingleSp1"/>
    <w:qFormat/>
    <w:pPr>
      <w:keepNext w:val="true"/>
      <w:spacing w:before="0" w:after="240"/>
      <w:jc w:val="center"/>
    </w:pPr>
    <w:rPr>
      <w:b/>
      <w:sz w:val="24"/>
    </w:rPr>
  </w:style>
  <w:style w:type="paragraph" w:styleId="CG-Title-Center-Underscore">
    <w:name w:val="CG-Title-Center-Underscore"/>
    <w:basedOn w:val="Normal"/>
    <w:next w:val="CG-SingleSp1"/>
    <w:qFormat/>
    <w:pPr>
      <w:keepNext w:val="true"/>
      <w:spacing w:before="0" w:after="240"/>
      <w:jc w:val="center"/>
    </w:pPr>
    <w:rPr>
      <w:sz w:val="24"/>
      <w:u w:val="single"/>
    </w:rPr>
  </w:style>
  <w:style w:type="paragraph" w:styleId="CG-Title-Left-Bold">
    <w:name w:val="CG-Title-Left-Bold"/>
    <w:basedOn w:val="Normal"/>
    <w:next w:val="CG-SingleSp1"/>
    <w:qFormat/>
    <w:pPr>
      <w:keepNext w:val="true"/>
      <w:spacing w:before="0" w:after="240"/>
    </w:pPr>
    <w:rPr>
      <w:b/>
      <w:sz w:val="24"/>
    </w:rPr>
  </w:style>
  <w:style w:type="paragraph" w:styleId="CG-Title-Left-Underscore">
    <w:name w:val="CG-Title-Left-Underscore"/>
    <w:basedOn w:val="Normal"/>
    <w:next w:val="CG-SingleSp1"/>
    <w:qFormat/>
    <w:pPr>
      <w:keepNext w:val="true"/>
      <w:spacing w:before="0" w:after="240"/>
    </w:pPr>
    <w:rPr>
      <w:sz w:val="24"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>
      <w:sz w:val="24"/>
    </w:rPr>
  </w:style>
  <w:style w:type="paragraph" w:styleId="CG-OneandOne-Half1">
    <w:name w:val="CG-One and One-Half 1"/>
    <w:basedOn w:val="Normal"/>
    <w:qFormat/>
    <w:pPr>
      <w:spacing w:lineRule="auto" w:line="360" w:before="0" w:after="120"/>
      <w:ind w:firstLine="1440" w:start="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CG-Title-Center">
    <w:name w:val="CG-Title-Center"/>
    <w:basedOn w:val="Normal"/>
    <w:next w:val="Normal"/>
    <w:qFormat/>
    <w:pPr>
      <w:keepNext w:val="true"/>
      <w:spacing w:before="0" w:after="240"/>
      <w:jc w:val="center"/>
    </w:pPr>
    <w:rPr/>
  </w:style>
  <w:style w:type="paragraph" w:styleId="CG-Title-Left-Italic">
    <w:name w:val="CG-Title-Left-Italic"/>
    <w:basedOn w:val="Normal"/>
    <w:next w:val="Normal"/>
    <w:qFormat/>
    <w:pPr>
      <w:keepNext w:val="true"/>
      <w:spacing w:before="0" w:after="240"/>
    </w:pPr>
    <w:rPr>
      <w:i/>
    </w:rPr>
  </w:style>
  <w:style w:type="paragraph" w:styleId="CG-Title-LeftInd-Italic">
    <w:name w:val="CG-Title-Left Ind-Italic"/>
    <w:basedOn w:val="Normal"/>
    <w:next w:val="Normal"/>
    <w:qFormat/>
    <w:pPr>
      <w:keepNext w:val="true"/>
      <w:spacing w:before="0" w:after="240"/>
      <w:ind w:hanging="0" w:start="720" w:end="0"/>
    </w:pPr>
    <w:rPr>
      <w:i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York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2000-05-03T12:57:00Z</dcterms:created>
  <dc:creator>New York Office</dc:creator>
  <dc:description/>
  <dc:language>en-CA</dc:language>
  <cp:lastModifiedBy>oem</cp:lastModifiedBy>
  <cp:lastPrinted>2000-05-01T18:53:00Z</cp:lastPrinted>
  <dcterms:modified xsi:type="dcterms:W3CDTF">2000-05-03T13:35:00Z</dcterms:modified>
  <cp:revision>4</cp:revision>
  <dc:subject/>
  <dc:title>April __, 2000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ibrary">
    <vt:lpwstr/>
  </property>
  <property fmtid="{D5CDD505-2E9C-101B-9397-08002B2CF9AE}" pid="3" name="DocName">
    <vt:lpwstr/>
  </property>
  <property fmtid="{D5CDD505-2E9C-101B-9397-08002B2CF9AE}" pid="4" name="DocNumber">
    <vt:lpwstr/>
  </property>
  <property fmtid="{D5CDD505-2E9C-101B-9397-08002B2CF9AE}" pid="5" name="DocVersion">
    <vt:lpwstr/>
  </property>
  <property fmtid="{D5CDD505-2E9C-101B-9397-08002B2CF9AE}" pid="6" name="FooterRightSideText">
    <vt:lpwstr> </vt:lpwstr>
  </property>
  <property fmtid="{D5CDD505-2E9C-101B-9397-08002B2CF9AE}" pid="7" name="SaveDocLibrary">
    <vt:lpwstr>[New York</vt:lpwstr>
  </property>
  <property fmtid="{D5CDD505-2E9C-101B-9397-08002B2CF9AE}" pid="8" name="SaveDocName">
    <vt:lpwstr/>
  </property>
  <property fmtid="{D5CDD505-2E9C-101B-9397-08002B2CF9AE}" pid="9" name="SaveDocNumber">
    <vt:lpwstr> #759532</vt:lpwstr>
  </property>
  <property fmtid="{D5CDD505-2E9C-101B-9397-08002B2CF9AE}" pid="10" name="SaveDocVersion">
    <vt:lpwstr> v1]</vt:lpwstr>
  </property>
  <property fmtid="{D5CDD505-2E9C-101B-9397-08002B2CF9AE}" pid="11" name="SaveFooterRightSideText">
    <vt:lpwstr> </vt:lpwstr>
  </property>
  <property fmtid="{D5CDD505-2E9C-101B-9397-08002B2CF9AE}" pid="12" name="iManageFooter">
    <vt:lpwstr>None</vt:lpwstr>
  </property>
</Properties>
</file>