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Stinson Gibner, Grant Masson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Dale Furrow</w:t>
            </w:r>
          </w:p>
        </w:tc>
        <w:tc>
          <w:tcPr>
            <w:tcW w:w="990" w:type="dxa"/>
            <w:tcBorders/>
          </w:tcPr>
          <w:p>
            <w:pPr>
              <w:pStyle w:val="Normal"/>
              <w:ind w:start="-180" w:end="0"/>
              <w:jc w:val="end"/>
              <w:rPr>
                <w:sz w:val="16"/>
                <w:szCs w:val="16"/>
              </w:rPr>
            </w:pPr>
            <w:r>
              <w:rPr>
                <w:sz w:val="16"/>
                <w:szCs w:val="16"/>
              </w:rPr>
              <w:t>Department:</w:t>
            </w:r>
          </w:p>
        </w:tc>
        <w:tc>
          <w:tcPr>
            <w:tcW w:w="2965" w:type="dxa"/>
            <w:tcBorders/>
          </w:tcPr>
          <w:p>
            <w:pPr>
              <w:pStyle w:val="Department"/>
              <w:rPr/>
            </w:pPr>
            <w:bookmarkStart w:id="0" w:name="From"/>
            <w:bookmarkEnd w:id="0"/>
            <w:r>
              <w:rPr/>
              <w:t>ECT West Power Structuring</w:t>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Power Asset Simulation Model</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tabs>
          <w:tab w:val="left" w:pos="360" w:leader="none"/>
        </w:tabs>
        <w:spacing w:before="0" w:after="120"/>
        <w:ind w:hanging="360" w:start="360" w:end="0"/>
        <w:rPr/>
      </w:pPr>
      <w:r>
        <w:rPr>
          <w:b/>
          <w:bCs/>
        </w:rPr>
        <w:t>1)</w:t>
        <w:tab/>
        <w:t xml:space="preserve">General: </w:t>
      </w:r>
      <w:r>
        <w:rPr/>
        <w:t>I’m preparing these comments as a result of my experience in the Plains Generation and Cogeneration transaction.  My perception is that the format, depth of detail, and features of the existing model are very good. I perceive however, given the variety of people who have been involved with the development of this model, that a cleanup, commenting, and standardization of the C-code DLL would be in order before implementing the additions I am proposing.  Then, I have some specific suggestions for additions to the model. Finally, I believe that there is a need to have a viable and flexible simulation-based alternative to the standard ECT swap model for pricing, among other contracts, the following structures:</w:t>
      </w:r>
    </w:p>
    <w:p>
      <w:pPr>
        <w:pStyle w:val="Body"/>
        <w:tabs>
          <w:tab w:val="left" w:pos="720" w:leader="none"/>
        </w:tabs>
        <w:ind w:hanging="360" w:start="720" w:end="0"/>
        <w:rPr/>
      </w:pPr>
      <w:r>
        <w:rPr/>
        <w:t>a)</w:t>
        <w:tab/>
        <w:t>Long-dated power options.</w:t>
      </w:r>
    </w:p>
    <w:p>
      <w:pPr>
        <w:pStyle w:val="Body"/>
        <w:tabs>
          <w:tab w:val="left" w:pos="720" w:leader="none"/>
        </w:tabs>
        <w:ind w:hanging="360" w:start="720" w:end="0"/>
        <w:rPr/>
      </w:pPr>
      <w:r>
        <w:rPr/>
        <w:t>b)</w:t>
        <w:tab/>
        <w:t>Quasi-Asset Spread Options: (Spreads w/ startup costs, limited starts, Ancillary Services provisions, etc.)</w:t>
      </w:r>
    </w:p>
    <w:p>
      <w:pPr>
        <w:pStyle w:val="Body"/>
        <w:tabs>
          <w:tab w:val="left" w:pos="720" w:leader="none"/>
        </w:tabs>
        <w:ind w:hanging="360" w:start="720" w:end="0"/>
        <w:rPr/>
      </w:pPr>
      <w:r>
        <w:rPr/>
        <w:t>c)</w:t>
        <w:tab/>
        <w:t>Asset-Contingent Transactions.</w:t>
      </w:r>
    </w:p>
    <w:p>
      <w:pPr>
        <w:pStyle w:val="Body"/>
        <w:tabs>
          <w:tab w:val="left" w:pos="720" w:leader="none"/>
        </w:tabs>
        <w:spacing w:before="0" w:after="120"/>
        <w:ind w:hanging="360" w:start="720" w:end="0"/>
        <w:rPr/>
      </w:pPr>
      <w:r>
        <w:rPr/>
        <w:t>d)</w:t>
        <w:tab/>
        <w:t>Weekly/Seasonal Energy Exchange Agreements</w:t>
      </w:r>
    </w:p>
    <w:p>
      <w:pPr>
        <w:pStyle w:val="Body"/>
        <w:spacing w:before="0" w:after="120"/>
        <w:ind w:start="360" w:end="0"/>
        <w:rPr/>
      </w:pPr>
      <w:r>
        <w:rPr/>
        <w:t xml:space="preserve">On the West Desk, we have seen variants of all these transaction types (I have included by fax one such transaction), and it would seem that the same software engine that powers the PSIM model could also be adapted for these structures.  </w:t>
      </w:r>
    </w:p>
    <w:p>
      <w:pPr>
        <w:pStyle w:val="Body"/>
        <w:tabs>
          <w:tab w:val="left" w:pos="360" w:leader="none"/>
        </w:tabs>
        <w:spacing w:before="0" w:after="120"/>
        <w:ind w:hanging="360" w:start="360" w:end="0"/>
        <w:rPr/>
      </w:pPr>
      <w:r>
        <w:rPr>
          <w:b/>
          <w:bCs/>
        </w:rPr>
        <w:t>2)</w:t>
        <w:tab/>
        <w:t xml:space="preserve">Format/General Comments: </w:t>
      </w:r>
      <w:r>
        <w:rPr/>
        <w:t xml:space="preserve"> The user interface is good—the Excel/VBA wrapper seems to be the most time-effective way to get information in and out of the program.  I did, however, receive different versions of the front end.  The standard version ought to be the one with named ranges for the major inputs.  Also, the model should be standardized for max years equal to 30.</w:t>
      </w:r>
    </w:p>
    <w:p>
      <w:pPr>
        <w:pStyle w:val="Body"/>
        <w:tabs>
          <w:tab w:val="left" w:pos="360" w:leader="none"/>
        </w:tabs>
        <w:spacing w:before="0" w:after="120"/>
        <w:ind w:hanging="360" w:start="360" w:end="0"/>
        <w:rPr/>
      </w:pPr>
      <w:r>
        <w:rPr>
          <w:b/>
          <w:bCs/>
        </w:rPr>
        <w:t>3)</w:t>
        <w:tab/>
        <w:t xml:space="preserve">Load Simulation:  </w:t>
      </w:r>
      <w:r>
        <w:rPr/>
        <w:t>Two comments here.  One, it would be helpful to have a template, and short explanation, of the mechanics of the temperature fit/temperature-load transfer function.  Two, a more basic question: the model currently simulates temperature, then applies a transfer function to get load—is there any way to use load data itself as the driver?  It would seem to me that a 3-way ANOVA (hour, day-of-week, month) with interactions might yield enough information to model the uncertainty in load. (Oftentimes, for an industrial deal, we get only load data, and load is not necessarily correlated w/ temperature)  In the Plains deal, we had a temperature fit (from 40 years of data) with R</w:t>
      </w:r>
      <w:r>
        <w:rPr>
          <w:vertAlign w:val="superscript"/>
        </w:rPr>
        <w:t>2</w:t>
      </w:r>
      <w:r>
        <w:rPr/>
        <w:t xml:space="preserve"> of 21% and 84% for the two iterations, and then a load-temp fit with an R</w:t>
      </w:r>
      <w:r>
        <w:rPr>
          <w:vertAlign w:val="superscript"/>
        </w:rPr>
        <w:t xml:space="preserve">2 </w:t>
      </w:r>
      <w:r>
        <w:rPr/>
        <w:t>of 66%.  Would it be more straightforward to simply do a calendar-based factor analysis of historical load data?</w:t>
      </w:r>
    </w:p>
    <w:p>
      <w:pPr>
        <w:pStyle w:val="Body"/>
        <w:tabs>
          <w:tab w:val="left" w:pos="360" w:leader="none"/>
        </w:tabs>
        <w:spacing w:before="0" w:after="120"/>
        <w:ind w:hanging="360" w:start="360" w:end="0"/>
        <w:rPr/>
      </w:pPr>
      <w:r>
        <w:rPr>
          <w:b/>
          <w:bCs/>
        </w:rPr>
        <w:t>4)</w:t>
        <w:tab/>
        <w:t xml:space="preserve">Curve Simulation: </w:t>
      </w:r>
      <w:r>
        <w:rPr/>
        <w:t>It was somewhat confusing to me, based on the notes for vol.txt, how to calibrate inputs based on volatilities of price returns with outputs based on volatilities of price distribution.  I think that all inputs/outputs should be on price returns.  I also don’t understand the function of the “H: coefficient relating power price movement to load: Price=Price0*exp(H*deltaLoad/Load)” cell (J3) on the “COVAR” page.  I didn’t see that it was picked up in the DLL, and I don’t know how it relates to the load/price entry for the long-term correlation matrix, or the “Actual Load”/”Actual Price”.  In general, I think there needs to be more documentation on the price processes, and also diagnostics in addition to vol.txt.  For example, an output of all iterations for a specified month (e.g. March 2003), which will output text files (e.g. 720 hours x 100 iterations) for day-ahead, real-time, and fuel prices for that month. Beyond that, the additions I see as priority are:</w:t>
      </w:r>
    </w:p>
    <w:p>
      <w:pPr>
        <w:pStyle w:val="Body"/>
        <w:tabs>
          <w:tab w:val="left" w:pos="720" w:leader="none"/>
        </w:tabs>
        <w:spacing w:before="0" w:after="120"/>
        <w:ind w:hanging="360" w:start="720" w:end="0"/>
        <w:rPr/>
      </w:pPr>
      <w:r>
        <w:rPr/>
        <w:t>a)</w:t>
        <w:tab/>
        <w:t>The ability to enter short-term seasonal volatilities.</w:t>
      </w:r>
    </w:p>
    <w:p>
      <w:pPr>
        <w:pStyle w:val="Body"/>
        <w:tabs>
          <w:tab w:val="left" w:pos="720" w:leader="none"/>
        </w:tabs>
        <w:spacing w:before="0" w:after="120"/>
        <w:ind w:hanging="360" w:start="720" w:end="0"/>
        <w:rPr/>
      </w:pPr>
      <w:r>
        <w:rPr/>
        <w:t>b)</w:t>
        <w:tab/>
        <w:t>For gas assets, the ability to input seasonal gas/power correlations.</w:t>
      </w:r>
    </w:p>
    <w:p>
      <w:pPr>
        <w:pStyle w:val="Body"/>
        <w:tabs>
          <w:tab w:val="left" w:pos="360" w:leader="none"/>
        </w:tabs>
        <w:ind w:hanging="360" w:start="360" w:end="0"/>
        <w:rPr>
          <w:b/>
          <w:bCs/>
        </w:rPr>
      </w:pPr>
      <w:r>
        <w:rPr>
          <w:b/>
          <w:bCs/>
        </w:rPr>
        <w:t>5)</w:t>
        <w:tab/>
      </w:r>
      <w:r>
        <w:br w:type="page"/>
      </w:r>
    </w:p>
    <w:p>
      <w:pPr>
        <w:pStyle w:val="Body"/>
        <w:tabs>
          <w:tab w:val="left" w:pos="360" w:leader="none"/>
        </w:tabs>
        <w:ind w:start="360" w:end="0"/>
        <w:rPr/>
      </w:pPr>
      <w:r>
        <w:rPr>
          <w:b/>
          <w:bCs/>
        </w:rPr>
        <w:t>Assets:</w:t>
      </w:r>
      <w:r>
        <w:rPr/>
        <w:t xml:space="preserve"> </w:t>
      </w:r>
    </w:p>
    <w:p>
      <w:pPr>
        <w:pStyle w:val="Body"/>
        <w:tabs>
          <w:tab w:val="left" w:pos="720" w:leader="none"/>
        </w:tabs>
        <w:spacing w:before="0" w:after="120"/>
        <w:ind w:hanging="360" w:start="720" w:end="0"/>
        <w:rPr/>
      </w:pPr>
      <w:r>
        <w:rPr/>
        <w:t>a)</w:t>
        <w:tab/>
        <w:t xml:space="preserve">Existing Configuration:  I think the existing asset pages are well-specified. The only additions I would prioritize is a “cycling” flag for peaking assets, and ramp rates for associated points on the heat rate curve, with a cold start rate (time from cold start to grid-synchronized operation).  Also, for assets that are under development, I encountered some difficulty in defining an outage, which starts on the same day as the simulation start date, and ends on the asset in-service date.  This entry should be allowed for these situations.  I would define the forced outage configuration in MTBF (Mean Time Between Failure) and MTTR (Mean Time to Repair) in order to more fully mimic historical/anticipated forced outage uncertainties.  I would start the fuel curves with “1” to avoid confusion.  On the same subject, the version I have has “number of fuel curves” specified in two places—that seem redundant.  Finally on the curves subject, it should be documented that the model assumes starting curve dates on the </w:t>
      </w:r>
      <w:r>
        <w:rPr>
          <w:i/>
          <w:iCs/>
        </w:rPr>
        <w:t>deal</w:t>
      </w:r>
      <w:r>
        <w:rPr/>
        <w:t xml:space="preserve"> start date.</w:t>
      </w:r>
    </w:p>
    <w:p>
      <w:pPr>
        <w:pStyle w:val="Body"/>
        <w:tabs>
          <w:tab w:val="left" w:pos="720" w:leader="none"/>
        </w:tabs>
        <w:spacing w:before="0" w:after="120"/>
        <w:ind w:hanging="360" w:start="720" w:end="0"/>
        <w:rPr/>
      </w:pPr>
      <w:r>
        <w:rPr/>
        <w:t>b)</w:t>
        <w:tab/>
        <w:t xml:space="preserve">Contracts: We need to have the capability to put contracts in the mix of assets.  The contracts I have seen are two varieties—one is the “economically exercised” contract—these can be modeled in the existing configuration.  The other is the “load-based” or “allocation” contract (WAPA/BPA, etc.).  These are contracts designed to follow load, in which the owner is </w:t>
      </w:r>
      <w:r>
        <w:rPr>
          <w:i/>
          <w:iCs/>
        </w:rPr>
        <w:t>specifically</w:t>
      </w:r>
      <w:r>
        <w:rPr/>
        <w:t xml:space="preserve"> prohibited from economic exercise or resale.  An example of this is the Plains WAPA allocation, which has a minimum hourly take, an approximate 50% load factor, and a stipulation that remaining energy over the minimum hourly take be allocated according to load.  While it is impractical to have every combination of contract set into the template, the “allocation” contract is prevalent here in the West.  </w:t>
      </w:r>
    </w:p>
    <w:p>
      <w:pPr>
        <w:pStyle w:val="Body"/>
        <w:tabs>
          <w:tab w:val="left" w:pos="360" w:leader="none"/>
        </w:tabs>
        <w:spacing w:before="0" w:after="120"/>
        <w:ind w:hanging="360" w:start="360" w:end="0"/>
        <w:rPr/>
      </w:pPr>
      <w:r>
        <w:rPr>
          <w:b/>
          <w:bCs/>
        </w:rPr>
        <w:t>6)</w:t>
        <w:tab/>
        <w:t xml:space="preserve">Summary:  </w:t>
      </w:r>
      <w:r>
        <w:rPr/>
        <w:t>The additions I have suggested came out of my experience with the Plains deal.  This deal is still in motion, and we should know within the next several weeks whether we will be invited for definitive negotiations.  If we are invited, then this transaction will be top priority here.  Therefore, my immediate needs with respect to PSIM are focused on Plains.  This is what I’m looking for, in order of priority:</w:t>
      </w:r>
    </w:p>
    <w:p>
      <w:pPr>
        <w:pStyle w:val="Body"/>
        <w:tabs>
          <w:tab w:val="left" w:pos="720" w:leader="none"/>
        </w:tabs>
        <w:ind w:hanging="360" w:start="720" w:end="0"/>
        <w:rPr/>
      </w:pPr>
      <w:r>
        <w:rPr/>
        <w:t>a)</w:t>
        <w:tab/>
        <w:t>We had enough DLL problems in early September that I would appreciate a thorough check of the existing code, so that any remaining coding provisions from previous deals can be identified and corrected.</w:t>
      </w:r>
    </w:p>
    <w:p>
      <w:pPr>
        <w:pStyle w:val="Body"/>
        <w:tabs>
          <w:tab w:val="left" w:pos="720" w:leader="none"/>
        </w:tabs>
        <w:ind w:hanging="360" w:start="720" w:end="0"/>
        <w:rPr/>
      </w:pPr>
      <w:r>
        <w:rPr/>
        <w:t>b)</w:t>
        <w:tab/>
        <w:t>The WAPA allocation in Plains (5(b)) is a critical element in serving this load.  I do not have a version of the model which includes this contract.</w:t>
      </w:r>
    </w:p>
    <w:p>
      <w:pPr>
        <w:pStyle w:val="Body"/>
        <w:tabs>
          <w:tab w:val="left" w:pos="720" w:leader="none"/>
        </w:tabs>
        <w:ind w:hanging="360" w:start="720" w:end="0"/>
        <w:rPr/>
      </w:pPr>
      <w:r>
        <w:rPr/>
        <w:t>c)</w:t>
        <w:tab/>
        <w:t>We have asset divestitures in-progress in California, for which I would like to use this model, probably with the load and price process unlinked.  I can start on this process if we have a clean model (i.e. 6(a) is completed), and if I can get the concerns in (4) addressed—particularly, the function of cell “J3” and the reconciliation of volatility inputs and outputs.  Obviously, resolving the two main issues for assets in 5(a) would also be helpful.</w:t>
      </w:r>
    </w:p>
    <w:p>
      <w:pPr>
        <w:pStyle w:val="Body"/>
        <w:tabs>
          <w:tab w:val="left" w:pos="720" w:leader="none"/>
        </w:tabs>
        <w:ind w:hanging="360" w:start="720" w:end="0"/>
        <w:rPr/>
      </w:pPr>
      <w:r>
        <w:rPr/>
        <w:t>d)</w:t>
        <w:tab/>
        <w:t>We have a long-term tolling arrangement with Calpine in play (sent under separate cover).  The only wrinkle in this transaction which I have not noted previously is the limitation of 100 starts per year.</w:t>
      </w:r>
    </w:p>
    <w:p>
      <w:pPr>
        <w:pStyle w:val="Body"/>
        <w:tabs>
          <w:tab w:val="left" w:pos="720" w:leader="none"/>
        </w:tabs>
        <w:ind w:hanging="360" w:start="720" w:end="0"/>
        <w:rPr/>
      </w:pPr>
      <w:r>
        <w:rPr/>
        <w:t>e)</w:t>
        <w:tab/>
        <w:t>Long-Term: I think that a well-maintained code set would be optimal to value the contract types set out in (1).  Of those, I am most concerned about longer-term options and asset-contingent transactions.  The additions I have suggested should yield a code set which is flexible enough that, with a few contract-specific modifications, will assist in valuing these opportunities.</w:t>
      </w:r>
    </w:p>
    <w:p>
      <w:pPr>
        <w:pStyle w:val="Body"/>
        <w:ind w:start="360" w:end="0"/>
        <w:rPr/>
      </w:pPr>
      <w:r>
        <w:rPr/>
        <w:t>That’s my feedback.  I’d like to get a conference call about this, when you either or both of you have time.</w:t>
      </w:r>
    </w:p>
    <w:p>
      <w:pPr>
        <w:pStyle w:val="Body"/>
        <w:rPr/>
      </w:pPr>
      <w:r>
        <w:rPr/>
      </w:r>
    </w:p>
    <w:p>
      <w:pPr>
        <w:pStyle w:val="Body"/>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62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clear" w:pos="8640"/>
        <w:tab w:val="right" w:pos="3780" w:leader="none"/>
        <w:tab w:val="center" w:pos="7560" w:leader="none"/>
        <w:tab w:val="right" w:pos="10530" w:leader="none"/>
      </w:tabs>
      <w:rPr>
        <w:sz w:val="12"/>
        <w:szCs w:val="12"/>
      </w:rPr>
    </w:pPr>
    <w:r>
      <w:rPr>
        <w:sz w:val="12"/>
        <w:szCs w:val="12"/>
      </w:rPr>
    </w:r>
  </w:p>
  <w:p>
    <w:pPr>
      <w:pStyle w:val="Footer"/>
      <w:tabs>
        <w:tab w:val="clear" w:pos="4320"/>
        <w:tab w:val="clear" w:pos="8640"/>
        <w:tab w:val="right" w:pos="3780" w:leader="none"/>
        <w:tab w:val="center" w:pos="7560" w:leader="none"/>
        <w:tab w:val="right" w:pos="10530" w:leader="none"/>
      </w:tabs>
      <w:rPr/>
    </w:pPr>
    <w:r>
      <w:rPr>
        <w:sz w:val="12"/>
        <w:szCs w:val="12"/>
      </w:rPr>
      <w:tab/>
      <w:t xml:space="preserve">File: </w:t>
    </w: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/mnt/main-storage/datasets/enron-docs/doc/PSIMCOMNT1.doc</w:t>
    </w:r>
    <w:r>
      <w:rPr>
        <w:sz w:val="12"/>
        <w:szCs w:val="12"/>
      </w:rPr>
      <w:fldChar w:fldCharType="end"/>
    </w:r>
    <w:r>
      <w:rPr>
        <w:sz w:val="12"/>
        <w:szCs w:val="12"/>
      </w:rPr>
      <w:tab/>
      <w:tab/>
      <w:tab/>
      <w:t xml:space="preserve"> Last Saved: </w:t>
    </w:r>
    <w:r>
      <w:rPr>
        <w:sz w:val="12"/>
        <w:szCs w:val="12"/>
      </w:rPr>
      <w:fldChar w:fldCharType="begin"/>
    </w:r>
    <w:r>
      <w:rPr>
        <w:sz w:val="12"/>
        <w:szCs w:val="12"/>
      </w:rPr>
      <w:instrText xml:space="preserve"> KEYWORDS </w:instrText>
    </w:r>
    <w:r>
      <w:rPr>
        <w:sz w:val="12"/>
        <w:szCs w:val="12"/>
      </w:rPr>
      <w:fldChar w:fldCharType="separate"/>
    </w:r>
    <w:r>
      <w:rPr>
        <w:sz w:val="12"/>
        <w:szCs w:val="12"/>
      </w:rPr>
    </w:r>
    <w:r>
      <w:rPr>
        <w:sz w:val="12"/>
        <w:szCs w:val="12"/>
      </w:rPr>
      <w:fldChar w:fldCharType="end"/>
    </w:r>
    <w:r>
      <w:rPr>
        <w:sz w:val="12"/>
        <w:szCs w:val="12"/>
      </w:rPr>
      <w:tab/>
      <w:tab/>
      <w:tab/>
      <w:t xml:space="preserve">Printed on: </w:t>
    </w:r>
    <w:r>
      <w:rPr>
        <w:sz w:val="12"/>
        <w:szCs w:val="12"/>
      </w:rPr>
      <w:fldChar w:fldCharType="begin"/>
    </w:r>
    <w:r>
      <w:rPr>
        <w:sz w:val="12"/>
        <w:szCs w:val="12"/>
      </w:rPr>
      <w:instrText xml:space="preserve"> PRINTDATE \@"M/d/yyyy\ HH:mm:ss\ AM/PM" </w:instrText>
    </w:r>
    <w:r>
      <w:rPr>
        <w:sz w:val="12"/>
        <w:szCs w:val="12"/>
      </w:rPr>
      <w:fldChar w:fldCharType="separate"/>
    </w:r>
    <w:r>
      <w:rPr>
        <w:sz w:val="12"/>
        <w:szCs w:val="12"/>
      </w:rPr>
      <w:t>9/29/1998 05:00:00 PM</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620" w:leader="none"/>
        <w:tab w:val="right" w:pos="10800" w:leader="none"/>
      </w:tabs>
      <w:rPr>
        <w:b/>
        <w:bCs/>
        <w:sz w:val="16"/>
        <w:szCs w:val="16"/>
      </w:rPr>
    </w:pPr>
    <w:r>
      <w:rPr>
        <w:b/>
        <w:bCs/>
        <w:sz w:val="16"/>
        <w:szCs w:val="16"/>
      </w:rPr>
    </w:r>
  </w:p>
  <w:p>
    <w:pPr>
      <w:pStyle w:val="Footer"/>
      <w:tabs>
        <w:tab w:val="clear" w:pos="4320"/>
        <w:tab w:val="clear" w:pos="8640"/>
        <w:tab w:val="left" w:pos="2430" w:leader="none"/>
        <w:tab w:val="left" w:pos="5310" w:leader="none"/>
        <w:tab w:val="right" w:pos="1062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clear" w:pos="8640"/>
        <w:tab w:val="right" w:pos="3780" w:leader="none"/>
        <w:tab w:val="center" w:pos="7560" w:leader="none"/>
        <w:tab w:val="right" w:pos="10530" w:leader="none"/>
      </w:tabs>
      <w:rPr>
        <w:sz w:val="12"/>
        <w:szCs w:val="12"/>
      </w:rPr>
    </w:pPr>
    <w:r>
      <w:rPr>
        <w:sz w:val="12"/>
        <w:szCs w:val="12"/>
      </w:rPr>
      <w:t xml:space="preserve">File: </w:t>
    </w: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/mnt/main-storage/datasets/enron-docs/doc/PSIMCOMNT1.doc</w:t>
    </w:r>
    <w:r>
      <w:rPr>
        <w:sz w:val="12"/>
        <w:szCs w:val="12"/>
      </w:rPr>
      <w:fldChar w:fldCharType="end"/>
    </w:r>
    <w:r>
      <w:rPr>
        <w:sz w:val="12"/>
        <w:szCs w:val="12"/>
      </w:rPr>
      <w:tab/>
      <w:tab/>
      <w:tab/>
      <w:t xml:space="preserve"> Last Saved: </w:t>
    </w:r>
    <w:r>
      <w:rPr>
        <w:sz w:val="12"/>
        <w:szCs w:val="12"/>
      </w:rPr>
      <w:fldChar w:fldCharType="begin"/>
    </w:r>
    <w:r>
      <w:rPr>
        <w:sz w:val="12"/>
        <w:szCs w:val="12"/>
      </w:rPr>
      <w:instrText xml:space="preserve"> KEYWORDS </w:instrText>
    </w:r>
    <w:r>
      <w:rPr>
        <w:sz w:val="12"/>
        <w:szCs w:val="12"/>
      </w:rPr>
      <w:fldChar w:fldCharType="separate"/>
    </w:r>
    <w:r>
      <w:rPr>
        <w:sz w:val="12"/>
        <w:szCs w:val="12"/>
      </w:rPr>
    </w:r>
    <w:r>
      <w:rPr>
        <w:sz w:val="12"/>
        <w:szCs w:val="12"/>
      </w:rPr>
      <w:fldChar w:fldCharType="end"/>
    </w:r>
    <w:r>
      <w:rPr>
        <w:sz w:val="12"/>
        <w:szCs w:val="12"/>
      </w:rPr>
      <w:tab/>
      <w:tab/>
      <w:tab/>
      <w:t xml:space="preserve">Printed on: </w:t>
    </w:r>
    <w:r>
      <w:rPr>
        <w:sz w:val="12"/>
        <w:szCs w:val="12"/>
      </w:rPr>
      <w:fldChar w:fldCharType="begin"/>
    </w:r>
    <w:r>
      <w:rPr>
        <w:sz w:val="12"/>
        <w:szCs w:val="12"/>
      </w:rPr>
      <w:instrText xml:space="preserve"> PRINTDATE \@"M/d/yyyy\ HH:mm:ss\ AM/PM" </w:instrText>
    </w:r>
    <w:r>
      <w:rPr>
        <w:sz w:val="12"/>
        <w:szCs w:val="12"/>
      </w:rPr>
      <w:fldChar w:fldCharType="separate"/>
    </w:r>
    <w:r>
      <w:rPr>
        <w:sz w:val="12"/>
        <w:szCs w:val="12"/>
      </w:rPr>
      <w:t>9/29/1998 05:00:00 PM</w:t>
    </w:r>
    <w:r>
      <w:rPr>
        <w:sz w:val="12"/>
        <w:szCs w:val="12"/>
      </w:rPr>
      <w:fldChar w:fldCharType="end"/>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670" w:leader="none"/>
        <w:tab w:val="right" w:pos="10620" w:leader="none"/>
      </w:tabs>
      <w:rPr>
        <w:sz w:val="16"/>
        <w:szCs w:val="16"/>
      </w:rPr>
    </w:pPr>
    <w:r>
      <w:rPr>
        <w:sz w:val="16"/>
        <w:szCs w:val="16"/>
      </w:rPr>
      <w:tab/>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 ARABIC </w:instrText>
    </w:r>
    <w:r>
      <w:rPr>
        <w:sz w:val="16"/>
        <w:szCs w:val="16"/>
      </w:rPr>
      <w:fldChar w:fldCharType="separate"/>
    </w:r>
    <w:r>
      <w:rPr>
        <w:sz w:val="16"/>
        <w:szCs w:val="16"/>
      </w:rPr>
      <w:t>2</w:t>
    </w:r>
    <w:r>
      <w:rPr>
        <w:sz w:val="16"/>
        <w:szCs w:val="16"/>
      </w:rPr>
      <w:fldChar w:fldCharType="end"/>
    </w:r>
  </w:p>
  <w:p>
    <w:pPr>
      <w:pStyle w:val="Header"/>
      <w:tabs>
        <w:tab w:val="clear" w:pos="4320"/>
        <w:tab w:val="clear" w:pos="8640"/>
        <w:tab w:val="center" w:pos="5670" w:leader="none"/>
        <w:tab w:val="right" w:pos="10620" w:leader="none"/>
      </w:tabs>
      <w:rPr>
        <w:sz w:val="16"/>
        <w:szCs w:val="16"/>
      </w:rPr>
    </w:pPr>
    <w:r>
      <w:rPr>
        <w:sz w:val="16"/>
        <w:szCs w:val="16"/>
      </w:rPr>
    </w:r>
  </w:p>
  <w:p>
    <w:pPr>
      <w:pStyle w:val="Header"/>
      <w:tabs>
        <w:tab w:val="clear" w:pos="4320"/>
        <w:tab w:val="clear" w:pos="8640"/>
        <w:tab w:val="center" w:pos="5670" w:leader="none"/>
        <w:tab w:val="right" w:pos="10620" w:leader="none"/>
      </w:tabs>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1998-09-29T19:32:00Z</dcterms:created>
  <dc:creator>ECT</dc:creator>
  <dc:description/>
  <dc:language>en-CA</dc:language>
  <cp:lastModifiedBy>ECT</cp:lastModifiedBy>
  <cp:lastPrinted>1998-09-29T17:00:00Z</cp:lastPrinted>
  <dcterms:modified xsi:type="dcterms:W3CDTF">1998-09-29T19:32:00Z</dcterms:modified>
  <cp:revision>2</cp:revision>
  <dc:subject/>
  <dc:title>Eron Capital &amp; Trade Resources Memo</dc:title>
</cp:coreProperties>
</file>