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FootnoteText"/>
              <w:spacing w:before="20" w:after="0"/>
              <w:rPr/>
            </w:pPr>
            <w:r>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sz w:val="28"/>
              </w:rPr>
            </w:pPr>
            <w:r>
              <w:rPr>
                <w:b/>
                <w:sz w:val="28"/>
              </w:rPr>
            </w:r>
          </w:p>
          <w:p>
            <w:pPr>
              <w:pStyle w:val="Normal"/>
              <w:rPr>
                <w:b/>
                <w:sz w:val="28"/>
              </w:rPr>
            </w:pPr>
            <w:r>
              <w:rPr>
                <w:b/>
                <w:sz w:val="28"/>
              </w:rPr>
              <w:t xml:space="preserve">        </w:t>
            </w:r>
            <w:r>
              <w:rPr>
                <w:b/>
                <w:sz w:val="28"/>
              </w:rPr>
              <w:t>INTEROFFICE MEMORANDUM</w:t>
            </w:r>
          </w:p>
          <w:p>
            <w:pPr>
              <w:pStyle w:val="Normal"/>
              <w:rPr>
                <w:b/>
                <w:sz w:val="36"/>
              </w:rPr>
            </w:pPr>
            <w:r>
              <w:rPr>
                <w:b/>
                <w:sz w:val="36"/>
              </w:rPr>
            </w:r>
          </w:p>
          <w:p>
            <w:pPr>
              <w:pStyle w:val="Normal"/>
              <w:rPr>
                <w:b/>
                <w:sz w:val="36"/>
              </w:rPr>
            </w:pPr>
            <w:r>
              <w:rPr>
                <w:b/>
                <w:sz w:val="36"/>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738" w:type="dxa"/>
        <w:jc w:val="start"/>
        <w:tblInd w:w="0" w:type="dxa"/>
        <w:tblLayout w:type="fixed"/>
        <w:tblCellMar>
          <w:top w:w="0" w:type="dxa"/>
          <w:start w:w="108" w:type="dxa"/>
          <w:bottom w:w="0" w:type="dxa"/>
          <w:end w:w="108" w:type="dxa"/>
        </w:tblCellMar>
      </w:tblPr>
      <w:tblGrid>
        <w:gridCol w:w="1728"/>
        <w:gridCol w:w="4770"/>
        <w:gridCol w:w="1440"/>
        <w:gridCol w:w="1800"/>
      </w:tblGrid>
      <w:tr>
        <w:trPr/>
        <w:tc>
          <w:tcPr>
            <w:tcW w:w="1728" w:type="dxa"/>
            <w:tcBorders/>
          </w:tcPr>
          <w:p>
            <w:pPr>
              <w:pStyle w:val="Normal"/>
              <w:spacing w:before="0" w:after="120"/>
              <w:jc w:val="both"/>
              <w:rPr>
                <w:b/>
              </w:rPr>
            </w:pPr>
            <w:r>
              <w:rPr>
                <w:b/>
              </w:rPr>
              <w:t>TO:</w:t>
            </w:r>
          </w:p>
        </w:tc>
        <w:tc>
          <w:tcPr>
            <w:tcW w:w="4770" w:type="dxa"/>
            <w:tcBorders/>
          </w:tcPr>
          <w:p>
            <w:pPr>
              <w:pStyle w:val="Normal"/>
              <w:jc w:val="both"/>
              <w:rPr/>
            </w:pPr>
            <w:r>
              <w:rPr/>
              <w:t>Julia Murray</w:t>
            </w:r>
          </w:p>
          <w:p>
            <w:pPr>
              <w:pStyle w:val="Normal"/>
              <w:jc w:val="both"/>
              <w:rPr/>
            </w:pPr>
            <w:r>
              <w:rPr/>
              <w:t>Mark Haedicke</w:t>
            </w:r>
          </w:p>
          <w:p>
            <w:pPr>
              <w:pStyle w:val="Normal"/>
              <w:jc w:val="both"/>
              <w:rPr/>
            </w:pPr>
            <w:r>
              <w:rPr/>
            </w:r>
          </w:p>
          <w:p>
            <w:pPr>
              <w:pStyle w:val="Normal"/>
              <w:jc w:val="both"/>
              <w:rPr/>
            </w:pPr>
            <w:r>
              <w:rPr/>
            </w:r>
          </w:p>
        </w:tc>
        <w:tc>
          <w:tcPr>
            <w:tcW w:w="1440" w:type="dxa"/>
            <w:tcBorders/>
          </w:tcPr>
          <w:p>
            <w:pPr>
              <w:pStyle w:val="Normal"/>
              <w:spacing w:before="0" w:after="120"/>
              <w:jc w:val="both"/>
              <w:rPr>
                <w:b/>
              </w:rPr>
            </w:pPr>
            <w:r>
              <w:rPr>
                <w:b/>
              </w:rPr>
              <w:t>DATE:</w:t>
            </w:r>
          </w:p>
        </w:tc>
        <w:tc>
          <w:tcPr>
            <w:tcW w:w="1800" w:type="dxa"/>
            <w:tcBorders/>
          </w:tcPr>
          <w:p>
            <w:pPr>
              <w:pStyle w:val="Normal"/>
              <w:spacing w:before="0" w:after="120"/>
              <w:jc w:val="both"/>
              <w:rPr/>
            </w:pPr>
            <w:r>
              <w:rPr/>
              <w:t>April 4, 2001</w:t>
            </w:r>
          </w:p>
        </w:tc>
      </w:tr>
      <w:tr>
        <w:trPr/>
        <w:tc>
          <w:tcPr>
            <w:tcW w:w="1728" w:type="dxa"/>
            <w:tcBorders/>
          </w:tcPr>
          <w:p>
            <w:pPr>
              <w:pStyle w:val="Normal"/>
              <w:spacing w:before="120" w:after="240"/>
              <w:jc w:val="both"/>
              <w:rPr>
                <w:b/>
              </w:rPr>
            </w:pPr>
            <w:r>
              <w:rPr>
                <w:b/>
              </w:rPr>
              <w:t>FROM:</w:t>
            </w:r>
          </w:p>
        </w:tc>
        <w:tc>
          <w:tcPr>
            <w:tcW w:w="4770" w:type="dxa"/>
            <w:tcBorders/>
          </w:tcPr>
          <w:p>
            <w:pPr>
              <w:pStyle w:val="Normal"/>
              <w:spacing w:before="0" w:after="120"/>
              <w:jc w:val="both"/>
              <w:rPr/>
            </w:pPr>
            <w:r>
              <w:rPr/>
              <w:t>Carlos Solé</w:t>
            </w:r>
          </w:p>
        </w:tc>
        <w:tc>
          <w:tcPr>
            <w:tcW w:w="1440" w:type="dxa"/>
            <w:tcBorders/>
          </w:tcPr>
          <w:p>
            <w:pPr>
              <w:pStyle w:val="Normal"/>
              <w:spacing w:before="120" w:after="240"/>
              <w:jc w:val="both"/>
              <w:rPr>
                <w:b/>
              </w:rPr>
            </w:pPr>
            <w:r>
              <w:rPr>
                <w:b/>
              </w:rPr>
              <w:t>DEPT:</w:t>
            </w:r>
          </w:p>
        </w:tc>
        <w:tc>
          <w:tcPr>
            <w:tcW w:w="1800" w:type="dxa"/>
            <w:tcBorders/>
          </w:tcPr>
          <w:p>
            <w:pPr>
              <w:pStyle w:val="Normal"/>
              <w:spacing w:before="120" w:after="240"/>
              <w:jc w:val="both"/>
              <w:rPr/>
            </w:pPr>
            <w:r>
              <w:rPr/>
              <w:t>ENA – Legal</w:t>
            </w:r>
          </w:p>
        </w:tc>
      </w:tr>
      <w:tr>
        <w:trPr/>
        <w:tc>
          <w:tcPr>
            <w:tcW w:w="1728" w:type="dxa"/>
            <w:tcBorders/>
          </w:tcPr>
          <w:p>
            <w:pPr>
              <w:pStyle w:val="Normal"/>
              <w:spacing w:before="0" w:after="120"/>
              <w:jc w:val="both"/>
              <w:rPr>
                <w:b/>
              </w:rPr>
            </w:pPr>
            <w:r>
              <w:rPr>
                <w:b/>
              </w:rPr>
              <w:t>SUBJECT:</w:t>
            </w:r>
          </w:p>
        </w:tc>
        <w:tc>
          <w:tcPr>
            <w:tcW w:w="8010" w:type="dxa"/>
            <w:gridSpan w:val="3"/>
            <w:tcBorders/>
          </w:tcPr>
          <w:p>
            <w:pPr>
              <w:pStyle w:val="Normal"/>
              <w:jc w:val="both"/>
              <w:rPr/>
            </w:pPr>
            <w:r>
              <w:rPr/>
              <w:t>Sale of Kendall New Century Development, L.L.C. to PSEG Fossil, L.L.C.</w:t>
            </w:r>
          </w:p>
        </w:tc>
      </w:tr>
    </w:tbl>
    <w:p>
      <w:pPr>
        <w:pStyle w:val="Normal"/>
        <w:pBdr>
          <w:bottom w:val="double" w:sz="12" w:space="0" w:color="000000"/>
        </w:pBdr>
        <w:rPr>
          <w:sz w:val="12"/>
        </w:rPr>
      </w:pPr>
      <w:r>
        <w:rPr>
          <w:sz w:val="12"/>
        </w:rPr>
      </w:r>
    </w:p>
    <w:p>
      <w:pPr>
        <w:pStyle w:val="Normal"/>
        <w:rPr>
          <w:sz w:val="12"/>
        </w:rPr>
      </w:pPr>
      <w:r>
        <w:rPr>
          <w:sz w:val="12"/>
        </w:rPr>
      </w:r>
    </w:p>
    <w:p>
      <w:pPr>
        <w:pStyle w:val="Heading1"/>
        <w:ind w:hanging="0" w:start="0"/>
        <w:rPr>
          <w:u w:val="none"/>
        </w:rPr>
      </w:pPr>
      <w:r>
        <w:rPr>
          <w:u w:val="none"/>
        </w:rPr>
        <w:t>ATTORNEY-CLIENT PRIVILEGE – DO NOT PRODUCE</w:t>
      </w:r>
    </w:p>
    <w:p>
      <w:pPr>
        <w:pStyle w:val="Normal"/>
        <w:jc w:val="both"/>
        <w:rPr>
          <w:u w:val="single"/>
        </w:rPr>
      </w:pPr>
      <w:r>
        <w:rPr>
          <w:u w:val="single"/>
        </w:rPr>
        <w:tab/>
        <w:tab/>
        <w:tab/>
        <w:tab/>
        <w:tab/>
        <w:tab/>
        <w:tab/>
        <w:tab/>
        <w:tab/>
        <w:tab/>
        <w:tab/>
        <w:tab/>
        <w:tab/>
      </w:r>
    </w:p>
    <w:p>
      <w:pPr>
        <w:pStyle w:val="Normal"/>
        <w:jc w:val="both"/>
        <w:rPr>
          <w:u w:val="single"/>
        </w:rPr>
      </w:pPr>
      <w:r>
        <w:rPr>
          <w:u w:val="single"/>
        </w:rPr>
      </w:r>
    </w:p>
    <w:p>
      <w:pPr>
        <w:pStyle w:val="Normal"/>
        <w:ind w:firstLine="720" w:end="0"/>
        <w:rPr/>
      </w:pPr>
      <w:r>
        <w:rPr>
          <w:b/>
          <w:bCs/>
        </w:rPr>
        <w:t>I.</w:t>
        <w:tab/>
      </w:r>
      <w:r>
        <w:rPr>
          <w:b/>
          <w:bCs/>
          <w:i/>
        </w:rPr>
        <w:t>Transaction Overview</w:t>
      </w:r>
    </w:p>
    <w:p>
      <w:pPr>
        <w:pStyle w:val="Normal"/>
        <w:rPr>
          <w:b/>
          <w:bCs/>
          <w:i/>
          <w:i/>
        </w:rPr>
      </w:pPr>
      <w:r>
        <w:rPr>
          <w:b/>
          <w:bCs/>
          <w:i/>
        </w:rPr>
      </w:r>
    </w:p>
    <w:p>
      <w:pPr>
        <w:pStyle w:val="Normal"/>
        <w:ind w:end="-36"/>
        <w:rPr/>
      </w:pPr>
      <w:r>
        <w:rPr/>
        <w:tab/>
        <w:t xml:space="preserve">Enron North America Corp. (“ENA”), through its wholly owned subsidiary Kendall New Century Development, L.L.C., (“Kendall”) currently holds an option to purchase approximately 70 acres of undeveloped land in Kendall County, Illinois as well as various permits, approvals, and development milestones for a natural gas-fired peaking facility (the “Project”).  For strategic purposes, ENA has determined that it can best maximize the value of its ownership interests in Kendall by selling this entity to PSEG Fossil, L.L.C. (“PSEG”), a subsidiary of Public Service Enterprise Group, a New Jersey based utility.  </w:t>
      </w:r>
    </w:p>
    <w:p>
      <w:pPr>
        <w:pStyle w:val="Normal"/>
        <w:ind w:end="-36"/>
        <w:rPr/>
      </w:pPr>
      <w:r>
        <w:rPr/>
      </w:r>
    </w:p>
    <w:p>
      <w:pPr>
        <w:pStyle w:val="Normal"/>
        <w:ind w:end="-36"/>
        <w:rPr/>
      </w:pPr>
      <w:r>
        <w:rPr/>
        <w:tab/>
        <w:t xml:space="preserve">The total purchase price for the transaction is $3 million (which includes a $300,000 credit to PSEG for the payment it previously provided in February in order to conduct its due diligence and negotiate a definitive agreement on an non-exclusive, non-binding basis for a limited time period).  The transaction’s definitive agreement consists simply of an agreement for the purchase and sale of ENA’s 100% interest in Kendall.  The closing of the transaction would occur contemporaneously with the execution of the definitive agreement.  The form of this definitive agreement as based on a form used in prior ENA transactions and this memorandum highlights the principal differences that are unique to this transaction.  </w:t>
      </w:r>
      <w:r>
        <w:rPr>
          <w:b/>
          <w:bCs/>
          <w:i/>
          <w:iCs/>
        </w:rPr>
        <w:t>Overall, I would give the transaction a legal risk rating of 2.</w:t>
      </w:r>
    </w:p>
    <w:p>
      <w:pPr>
        <w:pStyle w:val="Normal"/>
        <w:ind w:end="-36"/>
        <w:rPr/>
      </w:pPr>
      <w:r>
        <w:rPr/>
      </w:r>
    </w:p>
    <w:p>
      <w:pPr>
        <w:pStyle w:val="Normal"/>
        <w:ind w:firstLine="720" w:end="0"/>
        <w:rPr/>
      </w:pPr>
      <w:r>
        <w:rPr>
          <w:b/>
          <w:bCs/>
          <w:iCs/>
        </w:rPr>
        <w:t>II.</w:t>
      </w:r>
      <w:r>
        <w:rPr>
          <w:b/>
          <w:bCs/>
          <w:i/>
        </w:rPr>
        <w:tab/>
        <w:t>Significant Legal Risks/Considerations</w:t>
      </w:r>
    </w:p>
    <w:p>
      <w:pPr>
        <w:pStyle w:val="Normal"/>
        <w:rPr>
          <w:b/>
          <w:bCs/>
          <w:i/>
          <w:i/>
        </w:rPr>
      </w:pPr>
      <w:r>
        <w:rPr>
          <w:b/>
          <w:bCs/>
          <w:i/>
        </w:rPr>
      </w:r>
    </w:p>
    <w:p>
      <w:pPr>
        <w:pStyle w:val="Normal"/>
        <w:numPr>
          <w:ilvl w:val="0"/>
          <w:numId w:val="2"/>
        </w:numPr>
        <w:rPr>
          <w:i/>
          <w:i/>
        </w:rPr>
      </w:pPr>
      <w:r>
        <w:rPr>
          <w:i/>
        </w:rPr>
        <w:t>30 Month Non-Interference Restriction on ENA Activities Impacting Kendall</w:t>
      </w:r>
    </w:p>
    <w:p>
      <w:pPr>
        <w:pStyle w:val="Normal"/>
        <w:rPr>
          <w:i/>
          <w:i/>
        </w:rPr>
      </w:pPr>
      <w:r>
        <w:rPr>
          <w:i/>
        </w:rPr>
      </w:r>
    </w:p>
    <w:p>
      <w:pPr>
        <w:pStyle w:val="Normal"/>
        <w:numPr>
          <w:ilvl w:val="1"/>
          <w:numId w:val="2"/>
        </w:numPr>
        <w:rPr>
          <w:i/>
          <w:i/>
        </w:rPr>
      </w:pPr>
      <w:r>
        <w:rPr>
          <w:i/>
        </w:rPr>
        <w:t xml:space="preserve">Being separately reviewed and approved by Lance Schuler </w:t>
      </w:r>
    </w:p>
    <w:p>
      <w:pPr>
        <w:pStyle w:val="Normal"/>
        <w:rPr>
          <w:i/>
          <w:i/>
        </w:rPr>
      </w:pPr>
      <w:r>
        <w:rPr>
          <w:i/>
        </w:rPr>
      </w:r>
    </w:p>
    <w:p>
      <w:pPr>
        <w:pStyle w:val="Normal"/>
        <w:rPr>
          <w:i/>
          <w:i/>
        </w:rPr>
      </w:pPr>
      <w:r>
        <w:rPr>
          <w:i/>
        </w:rPr>
      </w:r>
    </w:p>
    <w:p>
      <w:pPr>
        <w:pStyle w:val="Normal"/>
        <w:numPr>
          <w:ilvl w:val="0"/>
          <w:numId w:val="2"/>
        </w:numPr>
        <w:rPr>
          <w:i/>
          <w:i/>
        </w:rPr>
      </w:pPr>
      <w:r>
        <w:rPr>
          <w:i/>
        </w:rPr>
        <w:t>Credit Risk Associated with PSEG’s Indemnification Obligations</w:t>
      </w:r>
    </w:p>
    <w:p>
      <w:pPr>
        <w:pStyle w:val="Normal"/>
        <w:rPr>
          <w:i/>
          <w:i/>
        </w:rPr>
      </w:pPr>
      <w:r>
        <w:rPr>
          <w:i/>
        </w:rPr>
      </w:r>
    </w:p>
    <w:p>
      <w:pPr>
        <w:pStyle w:val="Normal"/>
        <w:numPr>
          <w:ilvl w:val="1"/>
          <w:numId w:val="2"/>
        </w:numPr>
        <w:rPr>
          <w:i/>
          <w:i/>
        </w:rPr>
      </w:pPr>
      <w:r>
        <w:rPr>
          <w:i/>
        </w:rPr>
        <w:t>Commercial risk, but separarate financial information is being obtained to ensure that a PSEG parent guarnanty is not otherwise required to mitigate against creditworthiness of PSEG’s indemnification obligations</w:t>
      </w:r>
    </w:p>
    <w:p>
      <w:pPr>
        <w:pStyle w:val="Normal"/>
        <w:rPr>
          <w:i/>
          <w:i/>
        </w:rPr>
      </w:pPr>
      <w:r>
        <w:rPr>
          <w:i/>
        </w:rPr>
      </w:r>
    </w:p>
    <w:p>
      <w:pPr>
        <w:pStyle w:val="Normal"/>
        <w:numPr>
          <w:ilvl w:val="0"/>
          <w:numId w:val="2"/>
        </w:numPr>
        <w:rPr>
          <w:i/>
          <w:i/>
        </w:rPr>
      </w:pPr>
      <w:r>
        <w:rPr>
          <w:i/>
        </w:rPr>
        <w:t>30 Month Confidentiality Obligation</w:t>
      </w:r>
    </w:p>
    <w:p>
      <w:pPr>
        <w:pStyle w:val="Normal"/>
        <w:rPr>
          <w:i/>
          <w:i/>
        </w:rPr>
      </w:pPr>
      <w:r>
        <w:rPr>
          <w:i/>
        </w:rPr>
      </w:r>
    </w:p>
    <w:p>
      <w:pPr>
        <w:pStyle w:val="Normal"/>
        <w:numPr>
          <w:ilvl w:val="0"/>
          <w:numId w:val="2"/>
        </w:numPr>
        <w:rPr>
          <w:i/>
          <w:i/>
        </w:rPr>
      </w:pPr>
      <w:r>
        <w:rPr>
          <w:i/>
        </w:rPr>
        <w:t>45 Day Post-Closing Transition Assistance</w:t>
      </w:r>
    </w:p>
    <w:p>
      <w:pPr>
        <w:pStyle w:val="Normal"/>
        <w:rPr>
          <w:i/>
          <w:i/>
        </w:rPr>
      </w:pPr>
      <w:r>
        <w:rPr>
          <w:i/>
        </w:rPr>
      </w:r>
    </w:p>
    <w:p>
      <w:pPr>
        <w:pStyle w:val="Normal"/>
        <w:ind w:start="1080" w:end="0"/>
        <w:rPr>
          <w:i/>
          <w:i/>
        </w:rPr>
      </w:pPr>
      <w:r>
        <w:rPr>
          <w:i/>
        </w:rPr>
        <w:t>a.</w:t>
        <w:tab/>
        <w:t>For 45 days after closing ENA must provide transition assistance such as introducing PSEG’s representatives to counterparty’s to Project agreements and introductions to local governmental officials involved in the permitting process.  ENA’s obligation is limited to a maximum of 5 days of such assistance.</w:t>
      </w:r>
    </w:p>
    <w:p>
      <w:pPr>
        <w:pStyle w:val="Normal"/>
        <w:rPr>
          <w:i/>
          <w:i/>
        </w:rPr>
      </w:pPr>
      <w:r>
        <w:rPr>
          <w:i/>
        </w:rPr>
      </w:r>
    </w:p>
    <w:p>
      <w:pPr>
        <w:pStyle w:val="Normal"/>
        <w:rPr>
          <w:i/>
          <w:i/>
        </w:rPr>
      </w:pPr>
      <w:r>
        <w:rPr>
          <w:i/>
        </w:rPr>
      </w:r>
    </w:p>
    <w:p>
      <w:pPr>
        <w:pStyle w:val="Normal"/>
        <w:numPr>
          <w:ilvl w:val="0"/>
          <w:numId w:val="2"/>
        </w:numPr>
        <w:rPr>
          <w:i/>
          <w:i/>
        </w:rPr>
      </w:pPr>
      <w:r>
        <w:rPr>
          <w:i/>
        </w:rPr>
        <w:t>Breaches of ENA Representations and Warranties</w:t>
      </w:r>
    </w:p>
    <w:p>
      <w:pPr>
        <w:pStyle w:val="Normal"/>
        <w:rPr>
          <w:i/>
          <w:i/>
        </w:rPr>
      </w:pPr>
      <w:r>
        <w:rPr>
          <w:i/>
        </w:rPr>
      </w:r>
    </w:p>
    <w:p>
      <w:pPr>
        <w:pStyle w:val="Normal"/>
        <w:numPr>
          <w:ilvl w:val="1"/>
          <w:numId w:val="2"/>
        </w:numPr>
        <w:rPr>
          <w:i/>
          <w:i/>
        </w:rPr>
      </w:pPr>
      <w:r>
        <w:rPr>
          <w:i/>
        </w:rPr>
        <w:t>ENA liability limited to $3 million and claims on such breaches can only be brought within 12 months of the execution of the definitive agreement and such claims must be in excess of $50,000</w:t>
      </w:r>
    </w:p>
    <w:p>
      <w:pPr>
        <w:pStyle w:val="Normal"/>
        <w:numPr>
          <w:ilvl w:val="1"/>
          <w:numId w:val="2"/>
        </w:numPr>
        <w:rPr>
          <w:i/>
          <w:i/>
        </w:rPr>
      </w:pPr>
      <w:r>
        <w:rPr>
          <w:i/>
        </w:rPr>
        <w:t>In addition to ENA representations and warranties, the Landowner is providing an Estoppel Letter with respect to the Land Option Agreement and local counsel (at PSEG’s expense) is providing an opinion letter with respect to the permits and governmental authorizations that have been obtained in connection with the Project</w:t>
      </w:r>
    </w:p>
    <w:p>
      <w:pPr>
        <w:pStyle w:val="Normal"/>
        <w:rPr>
          <w:i/>
          <w:i/>
        </w:rPr>
      </w:pPr>
      <w:r>
        <w:rPr>
          <w:i/>
        </w:rPr>
      </w:r>
    </w:p>
    <w:p>
      <w:pPr>
        <w:pStyle w:val="Normal"/>
        <w:rPr>
          <w:i/>
          <w:i/>
        </w:rPr>
      </w:pPr>
      <w:r>
        <w:rPr>
          <w:i/>
        </w:rPr>
      </w:r>
    </w:p>
    <w:p>
      <w:pPr>
        <w:pStyle w:val="Normal"/>
        <w:rPr>
          <w:i/>
          <w:i/>
        </w:rPr>
      </w:pPr>
      <w:r>
        <w:rPr>
          <w:i/>
        </w:rPr>
      </w:r>
    </w:p>
    <w:sectPr>
      <w:footerReference w:type="default" r:id="rId3"/>
      <w:footerReference w:type="first" r:id="rId4"/>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/mnt/main-storage/datasets/enron-docs/doc/PSEG_Legal_Risk_Memo.doc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2"/>
      </w:rPr>
    </w:pPr>
    <w:r>
      <w:rPr>
        <w:sz w:val="12"/>
      </w:rPr>
    </w:r>
  </w:p>
  <w:p>
    <w:pPr>
      <w:pStyle w:val="Footer"/>
      <w:rPr>
        <w:sz w:val="16"/>
      </w:rPr>
    </w:pPr>
    <w:r>
      <w:rPr>
        <w:sz w:val="12"/>
      </w:rPr>
      <w:fldChar w:fldCharType="begin"/>
    </w:r>
    <w:r>
      <w:rPr>
        <w:sz w:val="12"/>
      </w:rPr>
      <w:instrText xml:space="preserve"> FILENAME \p </w:instrText>
    </w:r>
    <w:r>
      <w:rPr>
        <w:sz w:val="12"/>
      </w:rPr>
      <w:fldChar w:fldCharType="separate"/>
    </w:r>
    <w:r>
      <w:rPr>
        <w:sz w:val="12"/>
      </w:rPr>
      <w:t>/mnt/main-storage/datasets/enron-docs/doc/PSEG_Legal_Risk_Memo.doc</w:t>
    </w:r>
    <w:r>
      <w:rPr>
        <w:sz w:val="12"/>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93"/>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u w:val="single"/>
    </w:rPr>
  </w:style>
  <w:style w:type="paragraph" w:styleId="Heading2">
    <w:name w:val="heading 2"/>
    <w:basedOn w:val="Normal"/>
    <w:next w:val="Normal"/>
    <w:qFormat/>
    <w:pPr>
      <w:keepNext w:val="true"/>
      <w:numPr>
        <w:ilvl w:val="1"/>
        <w:numId w:val="1"/>
      </w:numPr>
      <w:jc w:val="both"/>
      <w:outlineLvl w:val="1"/>
    </w:pPr>
    <w:rPr>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i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left" w:pos="720" w:leader="none"/>
      </w:tabs>
      <w:ind w:hanging="1440" w:start="1440" w:end="0"/>
      <w:jc w:val="both"/>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2001-04-04T10:51:00Z</dcterms:created>
  <dc:creator>ECT</dc:creator>
  <dc:description/>
  <dc:language>en-CA</dc:language>
  <cp:lastModifiedBy>csole</cp:lastModifiedBy>
  <cp:lastPrinted>2001-03-26T10:07:00Z</cp:lastPrinted>
  <dcterms:modified xsi:type="dcterms:W3CDTF">2001-04-04T11:14:00Z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