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Company, Inc. dated effective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as amended.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 as amended or supplemented.</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t>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To come</w:t>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t>To come</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b/>
          <w:bCs/>
        </w:rPr>
      </w:pPr>
      <w:r>
        <w:rPr/>
        <w:t>4.</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t>
      </w:r>
    </w:p>
    <w:p>
      <w:pPr>
        <w:pStyle w:val="Normal"/>
        <w:jc w:val="both"/>
        <w:rPr>
          <w:b/>
          <w:bCs/>
        </w:rPr>
      </w:pPr>
      <w:r>
        <w:rPr>
          <w:b/>
          <w:bCs/>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jc w:val="both"/>
        <w:rPr/>
      </w:pPr>
      <w:r>
        <w:rPr/>
        <w:t>Expended capital for EMS gathering systems from 7/1/00 to 8/31/00 - $3,829,000.</w:t>
      </w:r>
    </w:p>
    <w:p>
      <w:pPr>
        <w:pStyle w:val="Normal"/>
        <w:ind w:start="360" w:end="0"/>
        <w:jc w:val="both"/>
        <w:rPr/>
      </w:pPr>
      <w:r>
        <w:rPr/>
        <w:t xml:space="preserve">   </w:t>
      </w:r>
    </w:p>
    <w:p>
      <w:pPr>
        <w:pStyle w:val="Normal"/>
        <w:numPr>
          <w:ilvl w:val="0"/>
          <w:numId w:val="5"/>
        </w:numPr>
        <w:jc w:val="both"/>
        <w:rPr/>
      </w:pPr>
      <w:r>
        <w:rPr/>
        <w:t>EMS capital committed to expend for gathering systems from 7/1/00 to 8/31/00 - $2,675,000</w:t>
      </w:r>
    </w:p>
    <w:p>
      <w:pPr>
        <w:pStyle w:val="Normal"/>
        <w:rPr/>
      </w:pPr>
      <w:r>
        <w:rPr/>
      </w:r>
    </w:p>
    <w:p>
      <w:pPr>
        <w:pStyle w:val="Normal"/>
        <w:rPr>
          <w:b/>
          <w:bCs/>
        </w:rPr>
      </w:pPr>
      <w:r>
        <w:rPr>
          <w:b/>
          <w:bCs/>
        </w:rPr>
      </w:r>
    </w:p>
    <w:p>
      <w:pPr>
        <w:pStyle w:val="Normal"/>
        <w:rPr>
          <w:u w:val="single"/>
        </w:rPr>
      </w:pPr>
      <w:r>
        <w:rPr>
          <w:u w:val="single"/>
        </w:rPr>
        <w:t>Section 3.1(k)(viii)</w:t>
      </w:r>
    </w:p>
    <w:p>
      <w:pPr>
        <w:pStyle w:val="Normal"/>
        <w:rPr>
          <w:u w:val="single"/>
        </w:rPr>
      </w:pPr>
      <w:r>
        <w:rPr>
          <w:u w:val="single"/>
        </w:rPr>
      </w:r>
    </w:p>
    <w:p>
      <w:pPr>
        <w:pStyle w:val="Normal"/>
        <w:rPr/>
      </w:pPr>
      <w:r>
        <w:rPr/>
        <w:t>[7.</w:t>
        <w:tab/>
        <w:t>Depreciation Accounting Change for Lost Creek and Fort Union]</w:t>
      </w:r>
    </w:p>
    <w:p>
      <w:pPr>
        <w:pStyle w:val="Normal"/>
        <w:rPr>
          <w:u w:val="single"/>
        </w:rPr>
      </w:pPr>
      <w:r>
        <w:rPr>
          <w:u w:val="single"/>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8.</w:t>
        <w:tab/>
        <w:t xml:space="preserve">Letter dated August 9, 2000 from Brian Bierbach to Hanover Compressor Company concerning air permitting schedules, equipment sizing and deliveries as well as possible cost impacts for our Powder River basin facilities.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8"/>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8"/>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8"/>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8"/>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8"/>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8"/>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8"/>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8"/>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pPr>
      <w:r>
        <w:rPr/>
        <w:t xml:space="preserve">NONE </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jc w:val="both"/>
        <w:rPr/>
      </w:pPr>
      <w:r>
        <w:rPr/>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2000-09-01T17:04:00Z</dcterms:created>
  <dc:creator>gnemec</dc:creator>
  <dc:description/>
  <dc:language>en-CA</dc:language>
  <cp:lastModifiedBy>gnemec</cp:lastModifiedBy>
  <cp:lastPrinted>2000-09-01T16:47:00Z</cp:lastPrinted>
  <dcterms:modified xsi:type="dcterms:W3CDTF">2000-09-01T20:13:00Z</dcterms:modified>
  <cp:revision>16</cp:revision>
  <dc:subject/>
  <dc:title>SCHEDULE 1</dc:title>
</cp:coreProperties>
</file>