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lineRule="exact" w:line="320"/>
        <w:ind w:hanging="0" w:start="0"/>
        <w:rPr>
          <w:sz w:val="28"/>
        </w:rPr>
      </w:pPr>
      <w:r>
        <w:rPr>
          <w:sz w:val="28"/>
        </w:rPr>
      </w:r>
    </w:p>
    <w:p>
      <w:pPr>
        <w:pStyle w:val="Heading5"/>
        <w:spacing w:lineRule="exact" w:line="320"/>
        <w:ind w:hanging="0" w:start="0"/>
        <w:rPr>
          <w:sz w:val="28"/>
        </w:rPr>
      </w:pPr>
      <w:r>
        <w:rPr>
          <w:sz w:val="28"/>
        </w:rPr>
        <w:t>PRESS RELEASE</w:t>
      </w:r>
    </w:p>
    <w:p>
      <w:pPr>
        <w:pStyle w:val="Normal"/>
        <w:spacing w:lineRule="exact" w:line="320"/>
        <w:rPr>
          <w:sz w:val="22"/>
        </w:rPr>
      </w:pPr>
      <w:r>
        <w:rPr>
          <w:b/>
          <w:sz w:val="22"/>
        </w:rPr>
        <w:t>FOR IMMEDIATE RELEASE</w:t>
      </w:r>
    </w:p>
    <w:p>
      <w:pPr>
        <w:pStyle w:val="Heading7"/>
        <w:ind w:hanging="0" w:start="0"/>
        <w:rPr/>
      </w:pPr>
      <w:r>
        <w:rPr/>
        <w:t>October 23, 2001</w:t>
      </w:r>
    </w:p>
    <w:p>
      <w:pPr>
        <w:pStyle w:val="Normal"/>
        <w:spacing w:lineRule="exact" w:line="320"/>
        <w:rPr/>
      </w:pPr>
      <w:r>
        <w:rPr/>
      </w:r>
    </w:p>
    <w:p>
      <w:pPr>
        <w:pStyle w:val="Normal"/>
        <w:pBdr>
          <w:bottom w:val="single" w:sz="4" w:space="1" w:color="000000"/>
        </w:pBdr>
        <w:spacing w:lineRule="exact" w:line="320"/>
        <w:jc w:val="both"/>
        <w:rPr>
          <w:b/>
          <w:sz w:val="24"/>
        </w:rPr>
      </w:pPr>
      <w:r>
        <w:rPr>
          <w:b/>
          <w:sz w:val="24"/>
        </w:rPr>
        <w:t>VIKING ENERGY ROYALTY TRUST ANNOUNCES PRIVATE PLACEMENT, 2002 FORECAST AND OPERATIONAL UPDATE</w:t>
      </w:r>
    </w:p>
    <w:p>
      <w:pPr>
        <w:pStyle w:val="Normal"/>
        <w:spacing w:lineRule="exact" w:line="320"/>
        <w:jc w:val="both"/>
        <w:rPr>
          <w:b/>
          <w:sz w:val="24"/>
        </w:rPr>
      </w:pPr>
      <w:r>
        <w:rPr>
          <w:b/>
          <w:sz w:val="24"/>
        </w:rPr>
      </w:r>
    </w:p>
    <w:p>
      <w:pPr>
        <w:pStyle w:val="Normal"/>
        <w:spacing w:lineRule="exact" w:line="320"/>
        <w:jc w:val="both"/>
        <w:rPr/>
      </w:pPr>
      <w:r>
        <w:rPr>
          <w:b/>
          <w:sz w:val="22"/>
        </w:rPr>
        <w:t>CALGARY</w:t>
      </w:r>
      <w:r>
        <w:rPr/>
        <w:t xml:space="preserve">, </w:t>
      </w:r>
      <w:r>
        <w:rPr>
          <w:sz w:val="22"/>
        </w:rPr>
        <w:t>October 23, 2001  -  (VKR.UN) Viking Energy Royalty Trust (the “Trust”) today announced that it has completed a private placement with a group of institutional investors for net proceeds of $21.9 million dollars, which will result in the issuance of  3.7 million Trust Units.  The funds will initially be used to reduce debt, and then will be deployed towards Viking’s capital program as well as future acquisitions.  The new Trust Units will be eligible for all distributions commencing with the October distribution payable on November 15, 2001, and will have a restriction requiring a six month hold period in which they cannot trade.</w:t>
      </w:r>
    </w:p>
    <w:p>
      <w:pPr>
        <w:pStyle w:val="Normal"/>
        <w:spacing w:lineRule="exact" w:line="320"/>
        <w:jc w:val="both"/>
        <w:rPr>
          <w:sz w:val="22"/>
        </w:rPr>
      </w:pPr>
      <w:r>
        <w:rPr>
          <w:sz w:val="22"/>
        </w:rPr>
      </w:r>
    </w:p>
    <w:p>
      <w:pPr>
        <w:pStyle w:val="Normal"/>
        <w:spacing w:lineRule="exact" w:line="320"/>
        <w:jc w:val="both"/>
        <w:rPr>
          <w:sz w:val="22"/>
        </w:rPr>
      </w:pPr>
      <w:r>
        <w:rPr>
          <w:sz w:val="22"/>
        </w:rPr>
        <w:t>A. Kirk Purdy, President and CEO of Viking stated, “This financing is important to the Trust, as it allows us to strengthen our balance sheet during a period of uncertainty in the marketplace.  Our debt now stands at a very manageable 1.3 times our estimated 2002 cash flow.  This issuance of Units will not be dilutive to distributions on a per-unit basis, and in fact supports our ability to deliver stable distributions based on our forecast cash flow.”</w:t>
      </w:r>
    </w:p>
    <w:p>
      <w:pPr>
        <w:pStyle w:val="Normal"/>
        <w:spacing w:lineRule="exact" w:line="320"/>
        <w:rPr>
          <w:sz w:val="22"/>
        </w:rPr>
      </w:pPr>
      <w:r>
        <w:rPr>
          <w:sz w:val="22"/>
        </w:rPr>
      </w:r>
    </w:p>
    <w:p>
      <w:pPr>
        <w:pStyle w:val="Normal"/>
        <w:spacing w:lineRule="exact" w:line="320"/>
        <w:jc w:val="both"/>
        <w:rPr>
          <w:sz w:val="22"/>
        </w:rPr>
      </w:pPr>
      <w:r>
        <w:rPr>
          <w:sz w:val="22"/>
        </w:rPr>
        <w:t>The Trust also announces its preliminary forecast for the year 2002.  Based on WTI oil prices averaging US $23.00 per barrel and AECO natural gas prices averaging Cdn $3.50 per thousand cubic feet (mcf) next year, cash flow is expected to be in the order of $1.35 per unit.  As a result of the financing and the resulting stronger balance sheet, Viking expects that its distributions for 2002 will be approximately 95% of this estimated cash flow, or $1.25 per unit.  These estimates reflect the impact of the Trust’s hedging program announced on October 18, 2001.  Approximately 40% of the Trust’s forecast production for next year is currently hedged at prices greater than those used in the 2002 forecast.</w:t>
      </w:r>
    </w:p>
    <w:p>
      <w:pPr>
        <w:pStyle w:val="Normal"/>
        <w:spacing w:lineRule="exact" w:line="320"/>
        <w:jc w:val="both"/>
        <w:rPr>
          <w:sz w:val="22"/>
        </w:rPr>
      </w:pPr>
      <w:r>
        <w:rPr>
          <w:sz w:val="22"/>
        </w:rPr>
      </w:r>
    </w:p>
    <w:p>
      <w:pPr>
        <w:pStyle w:val="BodyText"/>
        <w:spacing w:lineRule="exact" w:line="320"/>
        <w:rPr/>
      </w:pPr>
      <w:r>
        <w:rPr/>
        <w:t xml:space="preserve">During 2001, the Trust has grown significantly as a result of three major acquisitions.  Viking’s production in the fourth quarter of 2000 averaged 7,240 barrels of oil equivalent (boe) per day, compared with an expected 2001 year-end exit rate of approximately 13,000 boe per day.  Forecast production for 2002 is expected to remain relatively stable based on a planned capital development program next year of $15 million.  </w:t>
      </w:r>
    </w:p>
    <w:p>
      <w:pPr>
        <w:pStyle w:val="BodyText"/>
        <w:spacing w:lineRule="exact" w:line="320"/>
        <w:rPr/>
      </w:pPr>
      <w:r>
        <w:rPr/>
      </w:r>
    </w:p>
    <w:p>
      <w:pPr>
        <w:pStyle w:val="BodyText"/>
        <w:spacing w:lineRule="exact" w:line="320"/>
        <w:rPr/>
      </w:pPr>
      <w:r>
        <w:rPr/>
        <w:t>Viking’s expenditures on its very successful 2001 capital development program will be roughly $19 million.  The largest commitment this year was in the Channel Lake area of Alberta, where the Trust accelerated its shallow-gas production through the drilling and tie-in of 134 wells.  An additional 30 wells in this area are also expected to be drilled late this year, with tie-in scheduled for early 2002.  A successful in-fill drilling program has also been completed in Bellshill, with the recent tie-in of 14 oil wells.  For 2002, additional in-fill drilling will continue in Channel Lake, Bellshill and Eagle Lake.  Viking will also be very active in the Tweedie area with its farm-out program.</w:t>
      </w:r>
    </w:p>
    <w:p>
      <w:pPr>
        <w:pStyle w:val="BodyText"/>
        <w:spacing w:lineRule="exact" w:line="320"/>
        <w:rPr/>
      </w:pPr>
      <w:r>
        <w:rPr/>
      </w:r>
    </w:p>
    <w:p>
      <w:pPr>
        <w:pStyle w:val="BodyText"/>
        <w:spacing w:lineRule="exact" w:line="320"/>
        <w:rPr/>
      </w:pPr>
      <w:r>
        <w:rPr/>
        <w:t>The decrease in commodity prices during 2001 is part the cyclical nature of the oil and gas industry.  The volatility of commodity prices has been exacerbated by the recent world events and uncertainty in the economy.  During the down portion of the cycle, the Trust requires a strong balance sheet to maintain stable distributions, and to ensure that it is positioned to take advantage of opportunities that may arise.  Viking remains committed to its goal of managing for long-term returns in all phases of the commodity price cycle.</w:t>
      </w:r>
    </w:p>
    <w:p>
      <w:pPr>
        <w:pStyle w:val="Normal"/>
        <w:spacing w:lineRule="exact" w:line="320"/>
        <w:jc w:val="both"/>
        <w:rPr>
          <w:sz w:val="22"/>
        </w:rPr>
      </w:pPr>
      <w:r>
        <w:rPr>
          <w:sz w:val="22"/>
        </w:rPr>
      </w:r>
    </w:p>
    <w:p>
      <w:pPr>
        <w:pStyle w:val="BodyText"/>
        <w:spacing w:lineRule="exact" w:line="320"/>
        <w:rPr/>
      </w:pPr>
      <w:r>
        <w:rPr/>
        <w:t>Viking Energy Royalty Trust is an open-end investment Trust that generates income from long-life oil and natural gas producing properties in Alberta and Saskatchewan.  The beneficiaries of Viking are the holders of the Trust Units who receive monthly distributions of the cash flow from the income.  Including this Private Placement, the Trust now has 47,567,864 Units outstanding which trade on the Toronto Stock Exchange under the symbol VKR.UN.  Viking is managed by Viking Management Ltd., a Calgary based company.</w:t>
      </w:r>
    </w:p>
    <w:p>
      <w:pPr>
        <w:pStyle w:val="Normal"/>
        <w:spacing w:lineRule="exact" w:line="320"/>
        <w:jc w:val="both"/>
        <w:rPr>
          <w:sz w:val="22"/>
        </w:rPr>
      </w:pPr>
      <w:r>
        <w:rPr>
          <w:sz w:val="22"/>
        </w:rPr>
      </w:r>
    </w:p>
    <w:p>
      <w:pPr>
        <w:pStyle w:val="BodyText2"/>
        <w:spacing w:lineRule="exact" w:line="320"/>
        <w:rPr>
          <w:b w:val="false"/>
        </w:rPr>
      </w:pPr>
      <w:r>
        <w:rPr>
          <w:b w:val="false"/>
        </w:rPr>
        <w:t>NOT FOR DISTRIBUTION TO U.S. NEWSWIRE SERVICES OR FOR DISSEMINATION IN THE UNITED STATES.</w:t>
      </w:r>
    </w:p>
    <w:p>
      <w:pPr>
        <w:pStyle w:val="Normal"/>
        <w:spacing w:lineRule="exact" w:line="320"/>
        <w:jc w:val="both"/>
        <w:rPr>
          <w:b/>
          <w:sz w:val="22"/>
        </w:rPr>
      </w:pPr>
      <w:r>
        <w:rPr>
          <w:b/>
          <w:sz w:val="22"/>
        </w:rPr>
      </w:r>
    </w:p>
    <w:p>
      <w:pPr>
        <w:pStyle w:val="Normal"/>
        <w:spacing w:lineRule="exact" w:line="320"/>
        <w:jc w:val="both"/>
        <w:rPr>
          <w:sz w:val="22"/>
        </w:rPr>
      </w:pPr>
      <w:r>
        <w:rPr>
          <w:sz w:val="22"/>
        </w:rPr>
        <w:t>For further information contact:</w:t>
      </w:r>
    </w:p>
    <w:p>
      <w:pPr>
        <w:pStyle w:val="Normal"/>
        <w:spacing w:lineRule="exact" w:line="320"/>
        <w:jc w:val="both"/>
        <w:rPr>
          <w:sz w:val="22"/>
        </w:rPr>
      </w:pPr>
      <w:r>
        <w:rPr>
          <w:sz w:val="22"/>
        </w:rPr>
      </w:r>
    </w:p>
    <w:p>
      <w:pPr>
        <w:pStyle w:val="Normal"/>
        <w:tabs>
          <w:tab w:val="clear" w:pos="720"/>
          <w:tab w:val="left" w:pos="4860" w:leader="none"/>
        </w:tabs>
        <w:spacing w:lineRule="exact" w:line="320"/>
        <w:jc w:val="both"/>
        <w:rPr>
          <w:sz w:val="22"/>
        </w:rPr>
      </w:pPr>
      <w:r>
        <w:rPr>
          <w:sz w:val="22"/>
        </w:rPr>
        <w:t>A. Kirk Purdy</w:t>
        <w:tab/>
        <w:t>Viking Energy Royalty Trust</w:t>
      </w:r>
    </w:p>
    <w:p>
      <w:pPr>
        <w:pStyle w:val="BodyText2"/>
        <w:tabs>
          <w:tab w:val="clear" w:pos="720"/>
          <w:tab w:val="left" w:pos="4860" w:leader="none"/>
        </w:tabs>
        <w:spacing w:lineRule="exact" w:line="320"/>
        <w:rPr/>
      </w:pPr>
      <w:r>
        <w:rPr>
          <w:b w:val="false"/>
        </w:rPr>
        <w:t>President and CEO</w:t>
      </w:r>
      <w:r>
        <w:rPr/>
        <w:tab/>
      </w:r>
      <w:r>
        <w:rPr>
          <w:b w:val="false"/>
        </w:rPr>
        <w:t>c/o Viking Management Ltd.</w:t>
      </w:r>
    </w:p>
    <w:p>
      <w:pPr>
        <w:pStyle w:val="Normal"/>
        <w:tabs>
          <w:tab w:val="clear" w:pos="720"/>
          <w:tab w:val="left" w:pos="4860" w:leader="none"/>
        </w:tabs>
        <w:spacing w:lineRule="exact" w:line="320"/>
        <w:jc w:val="both"/>
        <w:rPr>
          <w:sz w:val="22"/>
        </w:rPr>
      </w:pPr>
      <w:r>
        <w:rPr>
          <w:sz w:val="22"/>
        </w:rPr>
        <w:tab/>
        <w:t>Suite 400 Calgary Place</w:t>
      </w:r>
    </w:p>
    <w:p>
      <w:pPr>
        <w:pStyle w:val="Normal"/>
        <w:tabs>
          <w:tab w:val="clear" w:pos="720"/>
          <w:tab w:val="left" w:pos="4860" w:leader="none"/>
        </w:tabs>
        <w:spacing w:lineRule="exact" w:line="320"/>
        <w:jc w:val="both"/>
        <w:rPr>
          <w:sz w:val="22"/>
        </w:rPr>
      </w:pPr>
      <w:r>
        <w:rPr>
          <w:sz w:val="22"/>
        </w:rPr>
        <w:tab/>
        <w:t>330 – 5 Ave S.W.</w:t>
      </w:r>
    </w:p>
    <w:p>
      <w:pPr>
        <w:pStyle w:val="Normal"/>
        <w:tabs>
          <w:tab w:val="clear" w:pos="720"/>
          <w:tab w:val="left" w:pos="540" w:leader="none"/>
          <w:tab w:val="left" w:pos="4860" w:leader="none"/>
        </w:tabs>
        <w:spacing w:lineRule="exact" w:line="320"/>
        <w:jc w:val="both"/>
        <w:rPr>
          <w:sz w:val="22"/>
        </w:rPr>
      </w:pPr>
      <w:r>
        <w:rPr>
          <w:sz w:val="22"/>
        </w:rPr>
        <w:tab/>
        <w:t>or</w:t>
        <w:tab/>
        <w:t>Calgary, AB           T2P 0L4</w:t>
      </w:r>
    </w:p>
    <w:p>
      <w:pPr>
        <w:pStyle w:val="Normal"/>
        <w:tabs>
          <w:tab w:val="clear" w:pos="720"/>
          <w:tab w:val="left" w:pos="540" w:leader="none"/>
          <w:tab w:val="left" w:pos="4860" w:leader="none"/>
        </w:tabs>
        <w:spacing w:lineRule="exact" w:line="320"/>
        <w:jc w:val="both"/>
        <w:rPr>
          <w:sz w:val="22"/>
        </w:rPr>
      </w:pPr>
      <w:r>
        <w:rPr>
          <w:sz w:val="22"/>
        </w:rPr>
        <w:tab/>
        <w:tab/>
        <w:t>(403) 268-3175</w:t>
      </w:r>
    </w:p>
    <w:p>
      <w:pPr>
        <w:pStyle w:val="Normal"/>
        <w:tabs>
          <w:tab w:val="clear" w:pos="720"/>
          <w:tab w:val="left" w:pos="540" w:leader="none"/>
          <w:tab w:val="left" w:pos="4860" w:leader="none"/>
        </w:tabs>
        <w:spacing w:lineRule="exact" w:line="320"/>
        <w:jc w:val="both"/>
        <w:rPr>
          <w:sz w:val="22"/>
        </w:rPr>
      </w:pPr>
      <w:r>
        <w:rPr>
          <w:sz w:val="22"/>
        </w:rPr>
        <w:tab/>
        <w:tab/>
        <w:t>Toll free:  1-877-292-2527</w:t>
      </w:r>
    </w:p>
    <w:p>
      <w:pPr>
        <w:pStyle w:val="Normal"/>
        <w:tabs>
          <w:tab w:val="clear" w:pos="720"/>
          <w:tab w:val="left" w:pos="540" w:leader="none"/>
          <w:tab w:val="left" w:pos="4860" w:leader="none"/>
        </w:tabs>
        <w:spacing w:lineRule="exact" w:line="320"/>
        <w:jc w:val="both"/>
        <w:rPr>
          <w:sz w:val="22"/>
        </w:rPr>
      </w:pPr>
      <w:r>
        <w:rPr>
          <w:sz w:val="22"/>
        </w:rPr>
        <w:t>Wayne King</w:t>
        <w:tab/>
        <w:t>e-mail:   vikingin@viking-roy.com</w:t>
      </w:r>
    </w:p>
    <w:p>
      <w:pPr>
        <w:pStyle w:val="Normal"/>
        <w:tabs>
          <w:tab w:val="clear" w:pos="720"/>
          <w:tab w:val="left" w:pos="4860" w:leader="none"/>
        </w:tabs>
        <w:spacing w:lineRule="exact" w:line="320"/>
        <w:rPr>
          <w:sz w:val="22"/>
        </w:rPr>
      </w:pPr>
      <w:r>
        <w:rPr>
          <w:sz w:val="22"/>
        </w:rPr>
        <w:t>Senior Vice-President and CFO</w:t>
        <w:tab/>
        <w:t>Internet:  www.vikingenergy.com</w:t>
      </w:r>
    </w:p>
    <w:p>
      <w:pPr>
        <w:pStyle w:val="Normal"/>
        <w:tabs>
          <w:tab w:val="clear" w:pos="720"/>
          <w:tab w:val="left" w:pos="4860" w:leader="none"/>
        </w:tabs>
        <w:spacing w:lineRule="exact" w:line="320"/>
        <w:rPr>
          <w:sz w:val="22"/>
        </w:rPr>
      </w:pPr>
      <w:r>
        <w:rPr>
          <w:sz w:val="22"/>
        </w:rPr>
        <w:tab/>
        <w:t>Andrea Watkins, Investor Relations Co-ordinator</w:t>
      </w:r>
    </w:p>
    <w:p>
      <w:pPr>
        <w:pStyle w:val="Normal"/>
        <w:rPr>
          <w:sz w:val="22"/>
        </w:rPr>
      </w:pPr>
      <w:r>
        <w:rPr>
          <w:sz w:val="22"/>
        </w:rPr>
      </w:r>
    </w:p>
    <w:p>
      <w:pPr>
        <w:pStyle w:val="Normal"/>
        <w:jc w:val="center"/>
        <w:rPr>
          <w:sz w:val="22"/>
        </w:rPr>
      </w:pPr>
      <w:r>
        <w:rPr>
          <w:sz w:val="22"/>
        </w:rPr>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bidi="ar-SA" w:eastAsia="zh-CN"/>
    </w:rPr>
  </w:style>
  <w:style w:type="paragraph" w:styleId="Heading1">
    <w:name w:val="heading 1"/>
    <w:basedOn w:val="Normal"/>
    <w:next w:val="Normal"/>
    <w:qFormat/>
    <w:pPr>
      <w:keepNext w:val="true"/>
      <w:numPr>
        <w:ilvl w:val="0"/>
        <w:numId w:val="1"/>
      </w:numPr>
      <w:outlineLvl w:val="0"/>
    </w:pPr>
    <w:rPr>
      <w:sz w:val="26"/>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sz w:val="22"/>
      <w:u w:val="single"/>
    </w:rPr>
  </w:style>
  <w:style w:type="paragraph" w:styleId="Heading4">
    <w:name w:val="heading 4"/>
    <w:basedOn w:val="Normal"/>
    <w:next w:val="Normal"/>
    <w:qFormat/>
    <w:pPr>
      <w:keepNext w:val="true"/>
      <w:numPr>
        <w:ilvl w:val="3"/>
        <w:numId w:val="1"/>
      </w:numPr>
      <w:spacing w:lineRule="exact" w:line="260"/>
      <w:jc w:val="both"/>
      <w:outlineLvl w:val="3"/>
    </w:pPr>
    <w:rPr>
      <w:b/>
      <w:sz w:val="22"/>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spacing w:lineRule="exact" w:line="320"/>
      <w:outlineLvl w:val="6"/>
    </w:pPr>
    <w:rPr>
      <w:b/>
      <w:bCs/>
      <w:caps/>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exact" w:line="260"/>
      <w:jc w:val="both"/>
    </w:pPr>
    <w:rPr>
      <w:b/>
      <w:sz w:val="22"/>
    </w:rPr>
  </w:style>
  <w:style w:type="paragraph" w:styleId="BodyText3">
    <w:name w:val="Body Text 3"/>
    <w:basedOn w:val="Normal"/>
    <w:qFormat/>
    <w:pPr>
      <w:jc w:val="both"/>
    </w:pPr>
    <w:rPr>
      <w:sz w:val="21"/>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0" w:end="0"/>
      <w:jc w:val="both"/>
    </w:pPr>
    <w:rPr>
      <w:lang w:val="en-US"/>
    </w:rPr>
  </w:style>
  <w:style w:type="paragraph" w:styleId="BodyTextIndent3">
    <w:name w:val="Body Text Indent 3"/>
    <w:basedOn w:val="Normal"/>
    <w:qFormat/>
    <w:pPr>
      <w:ind w:firstLine="72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2001-10-23T15:34:00Z</dcterms:created>
  <dc:creator>MarkMerstorf</dc:creator>
  <dc:description/>
  <dc:language>en-CA</dc:language>
  <cp:lastModifiedBy>AKirkPurdy</cp:lastModifiedBy>
  <cp:lastPrinted>2001-10-23T08:34:00Z</cp:lastPrinted>
  <dcterms:modified xsi:type="dcterms:W3CDTF">2001-10-23T15:34:00Z</dcterms:modified>
  <cp:revision>2</cp:revision>
  <dc:subject/>
  <dc:title>PRESS RELEASE</dc:title>
</cp:coreProperties>
</file>