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8,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Rochester Public Utilities</w:t>
      </w:r>
    </w:p>
    <w:p>
      <w:pPr>
        <w:pStyle w:val="Normal"/>
        <w:rPr/>
      </w:pPr>
      <w:r>
        <w:rPr/>
        <w:t>Attn: Purchasing</w:t>
      </w:r>
    </w:p>
    <w:p>
      <w:pPr>
        <w:pStyle w:val="Normal"/>
        <w:rPr/>
      </w:pPr>
      <w:r>
        <w:rPr/>
        <w:t>4000 East River Road NE</w:t>
      </w:r>
    </w:p>
    <w:p>
      <w:pPr>
        <w:pStyle w:val="Normal"/>
        <w:rPr/>
      </w:pPr>
      <w:r>
        <w:rPr/>
        <w:t>Rochester, MN  55906-2813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Gentlemen: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RE:  Combustion Turbine Generator-Cascade Creek Unit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GENERAL COMMENTS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Enron North America Corp. (“ENA”) is providing a non-conforming response to Rochester Public Utilities’ (“RPU”) request for proposal with regard to the Cascade Creek Unit 2 Combustion Turbine Generator.  In addition, our bid bond is also enclosed for further handling.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GENERAL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ENA proposes an alternative transaction structure including the turbine and subsequent transactions structures to provide the following benefits to RPU: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Reduction in an installed kilowatt cost by installing a General Electric LM-6000 with output of 47.5 MW at ISO</w:t>
      </w:r>
    </w:p>
    <w:p>
      <w:pPr>
        <w:pStyle w:val="Normal"/>
        <w:numPr>
          <w:ilvl w:val="0"/>
          <w:numId w:val="3"/>
        </w:numPr>
        <w:rPr/>
      </w:pPr>
      <w:r>
        <w:rPr/>
        <w:t>Installation of said unit for commercial installation by June 1, 2001 (assuming execution of a final written agreement on or before June 1, 2000) which allows RPU to gain value by participating in the near term power market.</w:t>
      </w:r>
    </w:p>
    <w:p>
      <w:pPr>
        <w:pStyle w:val="Normal"/>
        <w:numPr>
          <w:ilvl w:val="0"/>
          <w:numId w:val="3"/>
        </w:numPr>
        <w:rPr/>
      </w:pPr>
      <w:r>
        <w:rPr/>
        <w:t>ENA will enter into a Power Purchase Agreement (“PPA”) whereby ENA will purchase from RPU 100% of the output during the first year and approximately 50% of the unit output (25 MW) for the subsequent 5 years.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TURBINE PRICING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Lump sum price is </w:t>
      </w:r>
      <w:r>
        <w:rPr>
          <w:b/>
          <w:i/>
        </w:rPr>
        <w:t xml:space="preserve">$14,000,00 </w:t>
      </w:r>
      <w:r>
        <w:rPr/>
        <w:t xml:space="preserve"> for the delivery of one new General Electric LM-6000 with an output of 47.5 MW at ISO.  The unit would be operational on 6/1/01.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COMMERCIAL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Any subsequent agreements negotiated and entered into between ENA and RPU would be for the sale of a turbine and include at least one of the following subsequent commercial structures: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Engineering, Procurement and Construction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Power Marketing Arrangement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Power Purchase Agreement (RPU to ENA)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Financing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Gas Supply Deal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Under the transaction structure where ENA and RPU negotiate for inclusion of the Engineering, Procurement and Construction, the pricing would be $26,500,000 for the completely installed project.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cost to RPU could be decreased via the payment of a capacity charge pursuant to the negotiation of a PPA.  As an initial indication of value, ENA proposes to purchase the capacity as outlined above at a price of ?????. 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GENERAL EXCEPTION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ENA takes exception to all the terms in the Cascade Creek Bid Document and proposes that all conditions and subsequent documents be individually negotiated based on the deal structure negotiated.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Sincerely,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ind w:firstLine="720" w:start="3600" w:end="0"/>
        <w:rPr/>
      </w:pPr>
      <w:r>
        <w:rPr/>
        <w:t>ENRON NORTH AMERICA CORP.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By: 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>Name: Janet Dietrich</w:t>
      </w:r>
    </w:p>
    <w:p>
      <w:pPr>
        <w:pStyle w:val="Normal"/>
        <w:rPr/>
      </w:pPr>
      <w:r>
        <w:rPr/>
        <w:tab/>
        <w:tab/>
        <w:tab/>
        <w:tab/>
        <w:tab/>
        <w:tab/>
        <w:t>Title:  Managing Director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NOTWITHSTANDING ANYTHING CONTAINED HEREIN OR IN THE CASCADE CREEK BID DOCUMENT TO THE CONTRARY; (A) THIS NON-CONFORMING RESPONSE DOES NOT CONTAIN ALL MATTERS UPON WHICH AGREEMENT MUST BE REACHED IN ORDER FOR THE PROPOSED TRANSACTION TO BE COMPLETED, (B) THIS NON-CONFORMING RESPONSE: (1) IS MERELY INTENDED TO EXPRESS THE DESIRE OF ENA TO NEGOTIATE A TRANSACTION THAT WILL BE FINALIZED IN A WRITTEN AGREEMENT AT A FUTURE TIME; (2) DOES NOT CREATE AND IS NOT INTENDED TO CREATE A BINDING AND ENFORCEABLE CONTRACT BETWEEN THE PARTIES WITH RESPECT TO THE PROPOSED TRANSACTION; AND (3) MAY NOT BE RELIED UPON BY RPU AS THE BASIS FOR A CONTRACT BY ESTOPPEL OR OTHERWISE AND (C) A BINDING COMMITMENT WITH RESPECT TO THE PROPOSED TRANSACTION CAN ONLY RESULT FROM THE EXECUTION AND DELIVERY OF DEFINITIVE AGREEMENTS.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2000-03-09T13:27:00Z</dcterms:created>
  <dc:creator>odalton</dc:creator>
  <dc:description/>
  <dc:language>en-CA</dc:language>
  <cp:lastModifiedBy>odalton</cp:lastModifiedBy>
  <cp:lastPrinted>2000-03-09T10:19:00Z</cp:lastPrinted>
  <dcterms:modified xsi:type="dcterms:W3CDTF">2000-03-09T14:09:00Z</dcterms:modified>
  <cp:revision>5</cp:revision>
  <dc:subject/>
  <dc:title>March 8, 2000</dc:title>
</cp:coreProperties>
</file>