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Palatino" w:hAnsi="Palatino" w:cs="Palatino"/>
          <w:u w:val="none"/>
        </w:rPr>
      </w:pPr>
      <w:r>
        <w:rPr>
          <w:rFonts w:cs="Palatino" w:ascii="Palatino" w:hAnsi="Palatino"/>
          <w:u w:val="none"/>
        </w:rPr>
        <w:t>PROJECT HERCULES</w:t>
      </w:r>
    </w:p>
    <w:p>
      <w:pPr>
        <w:pStyle w:val="Heading"/>
        <w:jc w:val="start"/>
        <w:rPr>
          <w:rFonts w:ascii="Palatino" w:hAnsi="Palatino" w:cs="Palatino"/>
          <w:i/>
          <w:i/>
          <w:u w:val="none"/>
        </w:rPr>
      </w:pPr>
      <w:r>
        <w:rPr>
          <w:rFonts w:cs="Palatino" w:ascii="Palatino" w:hAnsi="Palatino"/>
          <w:i/>
          <w:u w:val="none"/>
        </w:rPr>
        <w:t>Description of Terms</w:t>
      </w:r>
    </w:p>
    <w:p>
      <w:pPr>
        <w:pStyle w:val="Heading"/>
        <w:jc w:val="start"/>
        <w:rPr>
          <w:rFonts w:ascii="Palatino" w:hAnsi="Palatino" w:cs="Palatino"/>
          <w:i/>
          <w:i/>
          <w:u w:val="none"/>
        </w:rPr>
      </w:pPr>
      <w:r>
        <w:rPr>
          <w:rFonts w:cs="Palatino" w:ascii="Palatino" w:hAnsi="Palatino"/>
          <w:i/>
          <w:u w:val="none"/>
        </w:rPr>
      </w:r>
    </w:p>
    <w:p>
      <w:pPr>
        <w:pStyle w:val="Normal"/>
        <w:jc w:val="center"/>
        <w:rPr>
          <w:rFonts w:ascii="Palatino" w:hAnsi="Palatino" w:cs="Palatino"/>
          <w:sz w:val="24"/>
          <w:u w:val="none"/>
        </w:rPr>
      </w:pPr>
      <w:r>
        <w:rPr>
          <w:rFonts w:cs="Palatino" w:ascii="Palatino" w:hAnsi="Palatino"/>
          <w:sz w:val="24"/>
          <w:u w:val="none"/>
        </w:rPr>
      </w:r>
    </w:p>
    <w:p>
      <w:pPr>
        <w:pStyle w:val="Normal"/>
        <w:jc w:val="both"/>
        <w:rPr/>
      </w:pPr>
      <w:r>
        <w:rPr>
          <w:rFonts w:cs="Palatino" w:ascii="Palatino" w:hAnsi="Palatino"/>
          <w:b/>
          <w:sz w:val="24"/>
        </w:rPr>
        <w:t>Purpose:</w:t>
      </w:r>
      <w:r>
        <w:rPr>
          <w:rFonts w:cs="Palatino" w:ascii="Palatino" w:hAnsi="Palatino"/>
          <w:sz w:val="24"/>
        </w:rPr>
        <w:t xml:space="preserve">  Establish a 75-25/50-50 Joint Venture (JV) to combine Enron’s finance and trading skills with IPG’s physical media capabilities to create a global media trading platform.</w:t>
      </w:r>
    </w:p>
    <w:p>
      <w:pPr>
        <w:pStyle w:val="Normal"/>
        <w:jc w:val="both"/>
        <w:rPr>
          <w:rFonts w:ascii="Palatino" w:hAnsi="Palatino" w:cs="Palatino"/>
          <w:sz w:val="24"/>
        </w:rPr>
      </w:pPr>
      <w:r>
        <w:rPr>
          <w:rFonts w:cs="Palatino" w:ascii="Palatino" w:hAnsi="Palatino"/>
          <w:sz w:val="24"/>
        </w:rPr>
      </w:r>
    </w:p>
    <w:p>
      <w:pPr>
        <w:pStyle w:val="BodyText"/>
        <w:rPr/>
      </w:pPr>
      <w:r>
        <w:rPr/>
        <w:t>The JV would act as principal (market maker) in media (TV, radio, print, Internet, and out of home) transactions.  The JV would focus on the sale of structured products and bundled media sales, which include both physical and financial products.  Media would be priced up to 7 years in term with the ability to both buy and sell.  The capabilities each company would bring to the venture are discussed below. The JV would be organized as a mark-to-market entity and earnings from the JV’s activities would be split 75-25/50-50 between the two companies.</w:t>
      </w:r>
    </w:p>
    <w:p>
      <w:pPr>
        <w:pStyle w:val="Normal"/>
        <w:rPr>
          <w:rFonts w:ascii="Palatino" w:hAnsi="Palatino" w:cs="Palatino"/>
          <w:sz w:val="24"/>
        </w:rPr>
      </w:pPr>
      <w:r>
        <w:rPr>
          <w:rFonts w:cs="Palatino" w:ascii="Palatino" w:hAnsi="Palatino"/>
          <w:sz w:val="24"/>
        </w:rPr>
      </w:r>
    </w:p>
    <w:tbl>
      <w:tblPr>
        <w:tblW w:w="8028" w:type="dxa"/>
        <w:jc w:val="start"/>
        <w:tblInd w:w="828" w:type="dxa"/>
        <w:tblLayout w:type="fixed"/>
        <w:tblCellMar>
          <w:top w:w="0" w:type="dxa"/>
          <w:start w:w="108" w:type="dxa"/>
          <w:bottom w:w="0" w:type="dxa"/>
          <w:end w:w="108" w:type="dxa"/>
        </w:tblCellMar>
      </w:tblPr>
      <w:tblGrid>
        <w:gridCol w:w="3960"/>
        <w:gridCol w:w="4068"/>
      </w:tblGrid>
      <w:tr>
        <w:trPr/>
        <w:tc>
          <w:tcPr>
            <w:tcW w:w="8028" w:type="dxa"/>
            <w:gridSpan w:val="2"/>
            <w:tcBorders>
              <w:top w:val="double" w:sz="4" w:space="0" w:color="000000"/>
              <w:start w:val="double" w:sz="4" w:space="0" w:color="000000"/>
              <w:end w:val="double" w:sz="4" w:space="0" w:color="000000"/>
            </w:tcBorders>
            <w:shd w:fill="CCCCCC" w:val="clear"/>
          </w:tcPr>
          <w:p>
            <w:pPr>
              <w:pStyle w:val="Heading3"/>
              <w:ind w:hanging="0" w:start="0"/>
              <w:rPr/>
            </w:pPr>
            <w:r>
              <w:rPr/>
              <w:t>Capabilities</w:t>
            </w:r>
          </w:p>
        </w:tc>
      </w:tr>
      <w:tr>
        <w:trPr/>
        <w:tc>
          <w:tcPr>
            <w:tcW w:w="3960" w:type="dxa"/>
            <w:tcBorders>
              <w:top w:val="single" w:sz="4" w:space="0" w:color="000000"/>
              <w:start w:val="double" w:sz="4" w:space="0" w:color="000000"/>
              <w:bottom w:val="single" w:sz="4" w:space="0" w:color="000000"/>
            </w:tcBorders>
            <w:shd w:fill="CCCCCC" w:val="clear"/>
          </w:tcPr>
          <w:p>
            <w:pPr>
              <w:pStyle w:val="Normal"/>
              <w:rPr>
                <w:rFonts w:ascii="Palatino" w:hAnsi="Palatino" w:cs="Palatino"/>
                <w:b/>
                <w:sz w:val="24"/>
              </w:rPr>
            </w:pPr>
            <w:r>
              <w:rPr>
                <w:rFonts w:cs="Palatino" w:ascii="Palatino" w:hAnsi="Palatino"/>
                <w:b/>
                <w:sz w:val="24"/>
              </w:rPr>
              <w:t>Enron</w:t>
            </w:r>
          </w:p>
        </w:tc>
        <w:tc>
          <w:tcPr>
            <w:tcW w:w="4068" w:type="dxa"/>
            <w:tcBorders>
              <w:top w:val="single" w:sz="4" w:space="0" w:color="000000"/>
              <w:start w:val="single" w:sz="4" w:space="0" w:color="000000"/>
              <w:bottom w:val="single" w:sz="4" w:space="0" w:color="000000"/>
              <w:end w:val="double" w:sz="4" w:space="0" w:color="000000"/>
            </w:tcBorders>
            <w:shd w:fill="CCCCCC" w:val="clear"/>
          </w:tcPr>
          <w:p>
            <w:pPr>
              <w:pStyle w:val="Normal"/>
              <w:rPr>
                <w:rFonts w:ascii="Palatino" w:hAnsi="Palatino" w:cs="Palatino"/>
                <w:b/>
                <w:sz w:val="24"/>
              </w:rPr>
            </w:pPr>
            <w:r>
              <w:rPr>
                <w:rFonts w:cs="Palatino" w:ascii="Palatino" w:hAnsi="Palatino"/>
                <w:b/>
                <w:sz w:val="24"/>
              </w:rPr>
              <w:t>IPG</w:t>
            </w:r>
          </w:p>
        </w:tc>
      </w:tr>
      <w:tr>
        <w:trPr/>
        <w:tc>
          <w:tcPr>
            <w:tcW w:w="3960" w:type="dxa"/>
            <w:tcBorders>
              <w:start w:val="double" w:sz="4" w:space="0" w:color="000000"/>
            </w:tcBorders>
          </w:tcPr>
          <w:p>
            <w:pPr>
              <w:pStyle w:val="Normal"/>
              <w:rPr>
                <w:rFonts w:ascii="Palatino" w:hAnsi="Palatino" w:cs="Palatino"/>
                <w:sz w:val="24"/>
              </w:rPr>
            </w:pPr>
            <w:r>
              <w:rPr>
                <w:rFonts w:cs="Palatino" w:ascii="Palatino" w:hAnsi="Palatino"/>
                <w:sz w:val="24"/>
              </w:rPr>
              <w:t>Financial transactions</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Physical media buying</w:t>
            </w:r>
          </w:p>
        </w:tc>
      </w:tr>
      <w:tr>
        <w:trPr/>
        <w:tc>
          <w:tcPr>
            <w:tcW w:w="3960" w:type="dxa"/>
            <w:tcBorders>
              <w:start w:val="double" w:sz="4" w:space="0" w:color="000000"/>
            </w:tcBorders>
          </w:tcPr>
          <w:p>
            <w:pPr>
              <w:pStyle w:val="Normal"/>
              <w:rPr>
                <w:rFonts w:ascii="Palatino" w:hAnsi="Palatino" w:cs="Palatino"/>
                <w:sz w:val="24"/>
              </w:rPr>
            </w:pPr>
            <w:r>
              <w:rPr>
                <w:rFonts w:cs="Palatino" w:ascii="Palatino" w:hAnsi="Palatino"/>
                <w:sz w:val="24"/>
              </w:rPr>
              <w:t>Structured transactions</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Customer base</w:t>
            </w:r>
          </w:p>
        </w:tc>
      </w:tr>
      <w:tr>
        <w:trPr/>
        <w:tc>
          <w:tcPr>
            <w:tcW w:w="3960" w:type="dxa"/>
            <w:tcBorders>
              <w:start w:val="double" w:sz="4" w:space="0" w:color="000000"/>
            </w:tcBorders>
          </w:tcPr>
          <w:p>
            <w:pPr>
              <w:pStyle w:val="Heading1"/>
              <w:ind w:hanging="0" w:start="0"/>
              <w:rPr>
                <w:rFonts w:ascii="Palatino" w:hAnsi="Palatino" w:cs="Palatino"/>
              </w:rPr>
            </w:pPr>
            <w:r>
              <w:rPr>
                <w:rFonts w:cs="Palatino" w:ascii="Palatino" w:hAnsi="Palatino"/>
              </w:rPr>
              <w:t>Risk management</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Stewardship</w:t>
            </w:r>
          </w:p>
        </w:tc>
      </w:tr>
      <w:tr>
        <w:trPr/>
        <w:tc>
          <w:tcPr>
            <w:tcW w:w="3960" w:type="dxa"/>
            <w:tcBorders>
              <w:start w:val="double" w:sz="4" w:space="0" w:color="000000"/>
            </w:tcBorders>
          </w:tcPr>
          <w:p>
            <w:pPr>
              <w:pStyle w:val="Normal"/>
              <w:rPr>
                <w:rFonts w:ascii="Palatino" w:hAnsi="Palatino" w:cs="Palatino"/>
                <w:sz w:val="24"/>
              </w:rPr>
            </w:pPr>
            <w:r>
              <w:rPr>
                <w:rFonts w:cs="Palatino" w:ascii="Palatino" w:hAnsi="Palatino"/>
                <w:sz w:val="24"/>
              </w:rPr>
              <w:t>Balance sheet support</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Industry knowledge</w:t>
            </w:r>
          </w:p>
        </w:tc>
      </w:tr>
      <w:tr>
        <w:trPr/>
        <w:tc>
          <w:tcPr>
            <w:tcW w:w="3960" w:type="dxa"/>
            <w:tcBorders>
              <w:start w:val="double" w:sz="4" w:space="0" w:color="000000"/>
              <w:bottom w:val="double" w:sz="4" w:space="0" w:color="000000"/>
            </w:tcBorders>
          </w:tcPr>
          <w:p>
            <w:pPr>
              <w:pStyle w:val="Normal"/>
              <w:rPr>
                <w:rFonts w:ascii="Palatino" w:hAnsi="Palatino" w:cs="Palatino"/>
                <w:sz w:val="24"/>
              </w:rPr>
            </w:pPr>
            <w:r>
              <w:rPr>
                <w:rFonts w:cs="Palatino" w:ascii="Palatino" w:hAnsi="Palatino"/>
                <w:sz w:val="24"/>
              </w:rPr>
              <w:t>Trading</w:t>
            </w:r>
          </w:p>
        </w:tc>
        <w:tc>
          <w:tcPr>
            <w:tcW w:w="4068" w:type="dxa"/>
            <w:tcBorders>
              <w:start w:val="single" w:sz="4" w:space="0" w:color="000000"/>
              <w:bottom w:val="double" w:sz="4" w:space="0" w:color="000000"/>
              <w:end w:val="double" w:sz="4" w:space="0" w:color="000000"/>
            </w:tcBorders>
          </w:tcPr>
          <w:p>
            <w:pPr>
              <w:pStyle w:val="Normal"/>
              <w:snapToGrid w:val="false"/>
              <w:rPr>
                <w:rFonts w:ascii="Palatino" w:hAnsi="Palatino" w:cs="Palatino"/>
                <w:sz w:val="24"/>
              </w:rPr>
            </w:pPr>
            <w:r>
              <w:rPr>
                <w:rFonts w:cs="Palatino" w:ascii="Palatino" w:hAnsi="Palatino"/>
                <w:sz w:val="24"/>
              </w:rPr>
            </w:r>
          </w:p>
        </w:tc>
      </w:tr>
    </w:tbl>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p>
    <w:tbl>
      <w:tblPr>
        <w:tblW w:w="8028" w:type="dxa"/>
        <w:jc w:val="start"/>
        <w:tblInd w:w="828" w:type="dxa"/>
        <w:tblLayout w:type="fixed"/>
        <w:tblCellMar>
          <w:top w:w="0" w:type="dxa"/>
          <w:start w:w="108" w:type="dxa"/>
          <w:bottom w:w="0" w:type="dxa"/>
          <w:end w:w="108" w:type="dxa"/>
        </w:tblCellMar>
      </w:tblPr>
      <w:tblGrid>
        <w:gridCol w:w="3960"/>
        <w:gridCol w:w="4068"/>
      </w:tblGrid>
      <w:tr>
        <w:trPr/>
        <w:tc>
          <w:tcPr>
            <w:tcW w:w="8028" w:type="dxa"/>
            <w:gridSpan w:val="2"/>
            <w:tcBorders>
              <w:top w:val="double" w:sz="4" w:space="0" w:color="000000"/>
              <w:start w:val="double" w:sz="4" w:space="0" w:color="000000"/>
              <w:end w:val="double" w:sz="4" w:space="0" w:color="000000"/>
            </w:tcBorders>
            <w:shd w:fill="CCCCCC" w:val="clear"/>
          </w:tcPr>
          <w:p>
            <w:pPr>
              <w:pStyle w:val="Heading3"/>
              <w:ind w:hanging="0" w:start="0"/>
              <w:rPr/>
            </w:pPr>
            <w:r>
              <w:rPr/>
              <w:t>Contribution</w:t>
            </w:r>
          </w:p>
        </w:tc>
      </w:tr>
      <w:tr>
        <w:trPr/>
        <w:tc>
          <w:tcPr>
            <w:tcW w:w="3960" w:type="dxa"/>
            <w:tcBorders>
              <w:top w:val="single" w:sz="4" w:space="0" w:color="000000"/>
              <w:start w:val="double" w:sz="4" w:space="0" w:color="000000"/>
              <w:bottom w:val="single" w:sz="4" w:space="0" w:color="000000"/>
            </w:tcBorders>
            <w:shd w:fill="CCCCCC" w:val="clear"/>
          </w:tcPr>
          <w:p>
            <w:pPr>
              <w:pStyle w:val="Normal"/>
              <w:rPr>
                <w:rFonts w:ascii="Palatino" w:hAnsi="Palatino" w:cs="Palatino"/>
                <w:b/>
                <w:sz w:val="24"/>
              </w:rPr>
            </w:pPr>
            <w:r>
              <w:rPr>
                <w:rFonts w:cs="Palatino" w:ascii="Palatino" w:hAnsi="Palatino"/>
                <w:b/>
                <w:sz w:val="24"/>
              </w:rPr>
              <w:t>Enron</w:t>
            </w:r>
          </w:p>
        </w:tc>
        <w:tc>
          <w:tcPr>
            <w:tcW w:w="4068" w:type="dxa"/>
            <w:tcBorders>
              <w:top w:val="single" w:sz="4" w:space="0" w:color="000000"/>
              <w:start w:val="single" w:sz="4" w:space="0" w:color="000000"/>
              <w:bottom w:val="single" w:sz="4" w:space="0" w:color="000000"/>
              <w:end w:val="double" w:sz="4" w:space="0" w:color="000000"/>
            </w:tcBorders>
            <w:shd w:fill="CCCCCC" w:val="clear"/>
          </w:tcPr>
          <w:p>
            <w:pPr>
              <w:pStyle w:val="Normal"/>
              <w:rPr>
                <w:rFonts w:ascii="Palatino" w:hAnsi="Palatino" w:cs="Palatino"/>
                <w:b/>
                <w:sz w:val="24"/>
              </w:rPr>
            </w:pPr>
            <w:r>
              <w:rPr>
                <w:rFonts w:cs="Palatino" w:ascii="Palatino" w:hAnsi="Palatino"/>
                <w:b/>
                <w:sz w:val="24"/>
              </w:rPr>
              <w:t>IPG</w:t>
            </w:r>
          </w:p>
        </w:tc>
      </w:tr>
      <w:tr>
        <w:trPr/>
        <w:tc>
          <w:tcPr>
            <w:tcW w:w="3960" w:type="dxa"/>
            <w:tcBorders>
              <w:start w:val="double" w:sz="4" w:space="0" w:color="000000"/>
            </w:tcBorders>
          </w:tcPr>
          <w:p>
            <w:pPr>
              <w:pStyle w:val="Normal"/>
              <w:rPr>
                <w:rFonts w:ascii="Palatino" w:hAnsi="Palatino" w:cs="Palatino"/>
                <w:sz w:val="24"/>
              </w:rPr>
            </w:pPr>
            <w:r>
              <w:rPr>
                <w:rFonts w:cs="Palatino" w:ascii="Palatino" w:hAnsi="Palatino"/>
                <w:sz w:val="24"/>
              </w:rPr>
              <w:t>Front Office:</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Traders/Media Buyers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Financial Traders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Origination/Sales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Structuring</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Front Office:</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Media Buyers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Origination/Sales</w:t>
            </w:r>
          </w:p>
        </w:tc>
      </w:tr>
      <w:tr>
        <w:trPr/>
        <w:tc>
          <w:tcPr>
            <w:tcW w:w="3960" w:type="dxa"/>
            <w:tcBorders>
              <w:start w:val="double" w:sz="4" w:space="0" w:color="000000"/>
            </w:tcBorders>
          </w:tcPr>
          <w:p>
            <w:pPr>
              <w:pStyle w:val="Normal"/>
              <w:rPr>
                <w:rFonts w:ascii="Palatino" w:hAnsi="Palatino" w:cs="Palatino"/>
                <w:sz w:val="24"/>
              </w:rPr>
            </w:pPr>
            <w:r>
              <w:rPr>
                <w:rFonts w:cs="Palatino" w:ascii="Palatino" w:hAnsi="Palatino"/>
                <w:sz w:val="24"/>
              </w:rPr>
              <w:t>Mid Office:</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Risk Managers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Credit Managers</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Mid Office:</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To be determined</w:t>
            </w:r>
          </w:p>
        </w:tc>
      </w:tr>
      <w:tr>
        <w:trPr/>
        <w:tc>
          <w:tcPr>
            <w:tcW w:w="3960" w:type="dxa"/>
            <w:tcBorders>
              <w:start w:val="double" w:sz="4" w:space="0" w:color="000000"/>
            </w:tcBorders>
          </w:tcPr>
          <w:p>
            <w:pPr>
              <w:pStyle w:val="Heading1"/>
              <w:ind w:hanging="0" w:start="0"/>
              <w:rPr>
                <w:rFonts w:ascii="Palatino" w:hAnsi="Palatino" w:cs="Palatino"/>
              </w:rPr>
            </w:pPr>
            <w:r>
              <w:rPr>
                <w:rFonts w:cs="Palatino" w:ascii="Palatino" w:hAnsi="Palatino"/>
              </w:rPr>
              <w:t>Back Office:</w:t>
            </w:r>
          </w:p>
          <w:p>
            <w:pPr>
              <w:pStyle w:val="Heading1"/>
              <w:ind w:hanging="0" w:start="0"/>
              <w:rPr>
                <w:rFonts w:ascii="Palatino" w:hAnsi="Palatino" w:cs="Palatino"/>
              </w:rPr>
            </w:pPr>
            <w:r>
              <w:rPr>
                <w:rFonts w:eastAsia="Palatino" w:cs="Palatino" w:ascii="Palatino" w:hAnsi="Palatino"/>
              </w:rPr>
              <w:t xml:space="preserve">  </w:t>
            </w:r>
            <w:r>
              <w:rPr>
                <w:rFonts w:cs="Palatino" w:ascii="Palatino" w:hAnsi="Palatino"/>
              </w:rPr>
              <w:t>To be determined</w:t>
            </w:r>
          </w:p>
          <w:p>
            <w:pPr>
              <w:pStyle w:val="Normal"/>
              <w:rPr>
                <w:rFonts w:ascii="Palatino" w:hAnsi="Palatino" w:cs="Palatino"/>
                <w:sz w:val="24"/>
              </w:rPr>
            </w:pPr>
            <w:r>
              <w:rPr>
                <w:rFonts w:cs="Palatino" w:ascii="Palatino" w:hAnsi="Palatino"/>
                <w:sz w:val="24"/>
              </w:rPr>
              <w:t>Systems: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EnronMediaOnline</w:t>
            </w:r>
          </w:p>
        </w:tc>
        <w:tc>
          <w:tcPr>
            <w:tcW w:w="4068" w:type="dxa"/>
            <w:tcBorders>
              <w:start w:val="single" w:sz="4" w:space="0" w:color="000000"/>
              <w:end w:val="double" w:sz="4" w:space="0" w:color="000000"/>
            </w:tcBorders>
          </w:tcPr>
          <w:p>
            <w:pPr>
              <w:pStyle w:val="Normal"/>
              <w:rPr>
                <w:rFonts w:ascii="Palatino" w:hAnsi="Palatino" w:cs="Palatino"/>
                <w:sz w:val="24"/>
              </w:rPr>
            </w:pPr>
            <w:r>
              <w:rPr>
                <w:rFonts w:cs="Palatino" w:ascii="Palatino" w:hAnsi="Palatino"/>
                <w:sz w:val="24"/>
              </w:rPr>
              <w:t>Back Office:</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To be determined</w:t>
            </w:r>
          </w:p>
          <w:p>
            <w:pPr>
              <w:pStyle w:val="Normal"/>
              <w:rPr>
                <w:rFonts w:ascii="Palatino" w:hAnsi="Palatino" w:cs="Palatino"/>
                <w:sz w:val="24"/>
              </w:rPr>
            </w:pPr>
            <w:r>
              <w:rPr>
                <w:rFonts w:cs="Palatino" w:ascii="Palatino" w:hAnsi="Palatino"/>
                <w:sz w:val="24"/>
              </w:rPr>
              <w:t>Systems:</w:t>
            </w:r>
          </w:p>
          <w:p>
            <w:pPr>
              <w:pStyle w:val="Normal"/>
              <w:rPr>
                <w:rFonts w:ascii="Palatino" w:hAnsi="Palatino" w:cs="Palatino"/>
                <w:sz w:val="24"/>
              </w:rPr>
            </w:pPr>
            <w:r>
              <w:rPr>
                <w:rFonts w:eastAsia="Palatino" w:cs="Palatino" w:ascii="Palatino" w:hAnsi="Palatino"/>
                <w:sz w:val="24"/>
              </w:rPr>
              <w:t xml:space="preserve">  </w:t>
            </w:r>
            <w:r>
              <w:rPr>
                <w:rFonts w:cs="Palatino" w:ascii="Palatino" w:hAnsi="Palatino"/>
                <w:sz w:val="24"/>
              </w:rPr>
              <w:t>Donavan, etc…</w:t>
            </w:r>
          </w:p>
        </w:tc>
      </w:tr>
      <w:tr>
        <w:trPr/>
        <w:tc>
          <w:tcPr>
            <w:tcW w:w="3960" w:type="dxa"/>
            <w:tcBorders>
              <w:start w:val="double" w:sz="4" w:space="0" w:color="000000"/>
              <w:bottom w:val="double" w:sz="4" w:space="0" w:color="000000"/>
            </w:tcBorders>
          </w:tcPr>
          <w:p>
            <w:pPr>
              <w:pStyle w:val="Normal"/>
              <w:snapToGrid w:val="false"/>
              <w:rPr>
                <w:rFonts w:ascii="Palatino" w:hAnsi="Palatino" w:cs="Palatino"/>
                <w:sz w:val="24"/>
              </w:rPr>
            </w:pPr>
            <w:r>
              <w:rPr>
                <w:rFonts w:cs="Palatino" w:ascii="Palatino" w:hAnsi="Palatino"/>
                <w:sz w:val="24"/>
              </w:rPr>
            </w:r>
          </w:p>
        </w:tc>
        <w:tc>
          <w:tcPr>
            <w:tcW w:w="4068" w:type="dxa"/>
            <w:tcBorders>
              <w:start w:val="single" w:sz="4" w:space="0" w:color="000000"/>
              <w:bottom w:val="double" w:sz="4" w:space="0" w:color="000000"/>
              <w:end w:val="double" w:sz="4" w:space="0" w:color="000000"/>
            </w:tcBorders>
          </w:tcPr>
          <w:p>
            <w:pPr>
              <w:pStyle w:val="Normal"/>
              <w:snapToGrid w:val="false"/>
              <w:rPr>
                <w:rFonts w:ascii="Palatino" w:hAnsi="Palatino" w:cs="Palatino"/>
                <w:sz w:val="24"/>
              </w:rPr>
            </w:pPr>
            <w:r>
              <w:rPr>
                <w:rFonts w:cs="Palatino" w:ascii="Palatino" w:hAnsi="Palatino"/>
                <w:sz w:val="24"/>
              </w:rPr>
            </w:r>
          </w:p>
        </w:tc>
      </w:tr>
    </w:tbl>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r>
    </w:p>
    <w:p>
      <w:pPr>
        <w:pStyle w:val="Heading2"/>
        <w:ind w:hanging="0" w:start="0"/>
        <w:rPr>
          <w:rFonts w:ascii="Palatino" w:hAnsi="Palatino" w:cs="Palatino"/>
          <w:b w:val="false"/>
        </w:rPr>
      </w:pPr>
      <w:r>
        <w:rPr>
          <w:rFonts w:cs="Palatino" w:ascii="Palatino" w:hAnsi="Palatino"/>
        </w:rPr>
        <w:t xml:space="preserve">Financial Structure/Terms: </w:t>
      </w:r>
    </w:p>
    <w:p>
      <w:pPr>
        <w:pStyle w:val="Normal"/>
        <w:rPr>
          <w:rFonts w:ascii="Palatino" w:hAnsi="Palatino" w:cs="Palatino"/>
          <w:b/>
          <w:sz w:val="24"/>
        </w:rPr>
      </w:pPr>
      <w:r>
        <w:rPr>
          <w:rFonts w:cs="Palatino" w:ascii="Palatino" w:hAnsi="Palatino"/>
          <w:b/>
          <w:sz w:val="24"/>
        </w:rPr>
      </w:r>
    </w:p>
    <w:p>
      <w:pPr>
        <w:pStyle w:val="Normal"/>
        <w:rPr>
          <w:rFonts w:ascii="Palatino" w:hAnsi="Palatino" w:cs="Palatino"/>
          <w:sz w:val="24"/>
        </w:rPr>
      </w:pPr>
      <w:r>
        <w:rPr>
          <w:rFonts w:cs="Palatino" w:ascii="Palatino" w:hAnsi="Palatino"/>
          <w:sz w:val="24"/>
        </w:rPr>
        <w:t>Term:</w:t>
        <w:tab/>
        <w:tab/>
        <w:tab/>
        <w:t>Minimum 2 year commitment</w:t>
      </w:r>
    </w:p>
    <w:p>
      <w:pPr>
        <w:pStyle w:val="Normal"/>
        <w:ind w:hanging="2160" w:start="2160" w:end="0"/>
        <w:rPr>
          <w:rFonts w:ascii="Palatino" w:hAnsi="Palatino" w:cs="Palatino"/>
          <w:sz w:val="24"/>
        </w:rPr>
      </w:pPr>
      <w:r>
        <w:rPr>
          <w:rFonts w:cs="Palatino" w:ascii="Palatino" w:hAnsi="Palatino"/>
          <w:sz w:val="24"/>
        </w:rPr>
      </w:r>
    </w:p>
    <w:p>
      <w:pPr>
        <w:pStyle w:val="Normal"/>
        <w:ind w:hanging="2160" w:start="2160" w:end="0"/>
        <w:rPr>
          <w:rFonts w:ascii="Palatino" w:hAnsi="Palatino" w:cs="Palatino"/>
          <w:sz w:val="24"/>
        </w:rPr>
      </w:pPr>
      <w:r>
        <w:rPr>
          <w:rFonts w:cs="Palatino" w:ascii="Palatino" w:hAnsi="Palatino"/>
          <w:sz w:val="24"/>
        </w:rPr>
        <w:t>Economic Split:</w:t>
        <w:tab/>
        <w:t xml:space="preserve">75-25/50-50 split of all gross margin on incremental business worldwide by either company </w:t>
      </w:r>
    </w:p>
    <w:p>
      <w:pPr>
        <w:pStyle w:val="Normal"/>
        <w:rPr>
          <w:rFonts w:ascii="Palatino" w:hAnsi="Palatino" w:cs="Palatino"/>
          <w:sz w:val="24"/>
        </w:rPr>
      </w:pPr>
      <w:r>
        <w:rPr>
          <w:rFonts w:cs="Palatino" w:ascii="Palatino" w:hAnsi="Palatino"/>
          <w:sz w:val="24"/>
        </w:rPr>
      </w:r>
    </w:p>
    <w:p>
      <w:pPr>
        <w:pStyle w:val="Normal"/>
        <w:ind w:hanging="2160" w:start="2160" w:end="0"/>
        <w:rPr>
          <w:rFonts w:ascii="Palatino" w:hAnsi="Palatino" w:cs="Palatino"/>
          <w:sz w:val="24"/>
        </w:rPr>
      </w:pPr>
      <w:r>
        <w:rPr>
          <w:rFonts w:cs="Palatino" w:ascii="Palatino" w:hAnsi="Palatino"/>
          <w:sz w:val="24"/>
        </w:rPr>
        <w:t>VAR Split:</w:t>
        <w:tab/>
        <w:t>$28 Million total daily VAR ($7 million IPG/$21 million Enron for a 75-25 split)</w:t>
      </w:r>
    </w:p>
    <w:p>
      <w:pPr>
        <w:pStyle w:val="Normal"/>
        <w:rPr>
          <w:rFonts w:ascii="Palatino" w:hAnsi="Palatino" w:cs="Palatino"/>
          <w:sz w:val="24"/>
        </w:rPr>
      </w:pPr>
      <w:r>
        <w:rPr>
          <w:rFonts w:cs="Palatino" w:ascii="Palatino" w:hAnsi="Palatino"/>
          <w:sz w:val="24"/>
        </w:rPr>
      </w:r>
    </w:p>
    <w:p>
      <w:pPr>
        <w:pStyle w:val="Normal"/>
        <w:ind w:hanging="2160" w:start="2160" w:end="0"/>
        <w:rPr>
          <w:rFonts w:ascii="Palatino" w:hAnsi="Palatino" w:cs="Palatino"/>
          <w:sz w:val="24"/>
        </w:rPr>
      </w:pPr>
      <w:r>
        <w:rPr>
          <w:rFonts w:cs="Palatino" w:ascii="Palatino" w:hAnsi="Palatino"/>
          <w:sz w:val="24"/>
        </w:rPr>
        <w:t>VAR Floor:</w:t>
        <w:tab/>
        <w:t>Structure could be added to limit IPG’s downside with an equity reduction in the JV if exercised.</w:t>
      </w:r>
    </w:p>
    <w:p>
      <w:pPr>
        <w:pStyle w:val="Normal"/>
        <w:rPr>
          <w:rFonts w:ascii="Palatino" w:hAnsi="Palatino" w:cs="Palatino"/>
          <w:sz w:val="24"/>
        </w:rPr>
      </w:pPr>
      <w:r>
        <w:rPr>
          <w:rFonts w:cs="Palatino" w:ascii="Palatino" w:hAnsi="Palatino"/>
          <w:sz w:val="24"/>
        </w:rPr>
      </w:r>
    </w:p>
    <w:p>
      <w:pPr>
        <w:pStyle w:val="Heading5"/>
        <w:rPr/>
      </w:pPr>
      <w:r>
        <w:rPr/>
        <w:t>Revenues</w:t>
      </w:r>
    </w:p>
    <w:p>
      <w:pPr>
        <w:pStyle w:val="Normal"/>
        <w:ind w:start="360" w:end="0"/>
        <w:rPr>
          <w:rFonts w:ascii="Palatino" w:hAnsi="Palatino" w:cs="Palatino"/>
          <w:sz w:val="24"/>
        </w:rPr>
      </w:pPr>
      <w:r>
        <w:rPr>
          <w:rFonts w:cs="Palatino" w:ascii="Palatino" w:hAnsi="Palatino"/>
          <w:sz w:val="24"/>
        </w:rPr>
      </w:r>
    </w:p>
    <w:p>
      <w:pPr>
        <w:pStyle w:val="Normal"/>
        <w:ind w:hanging="1800" w:start="2160" w:end="0"/>
        <w:rPr>
          <w:rFonts w:ascii="Palatino" w:hAnsi="Palatino" w:cs="Palatino"/>
          <w:sz w:val="24"/>
        </w:rPr>
      </w:pPr>
      <w:r>
        <w:rPr>
          <w:rFonts w:cs="Palatino" w:ascii="Palatino" w:hAnsi="Palatino"/>
          <w:sz w:val="24"/>
        </w:rPr>
        <w:t>New products:</w:t>
        <w:tab/>
        <w:t>both structured and packaged sold at higher margins to Hercules current client base.</w:t>
      </w:r>
    </w:p>
    <w:p>
      <w:pPr>
        <w:pStyle w:val="Normal"/>
        <w:numPr>
          <w:ilvl w:val="0"/>
          <w:numId w:val="6"/>
        </w:numPr>
        <w:tabs>
          <w:tab w:val="clear" w:pos="720"/>
          <w:tab w:val="left" w:pos="2520" w:leader="none"/>
        </w:tabs>
        <w:ind w:hanging="360" w:start="2520" w:end="0"/>
        <w:rPr>
          <w:rFonts w:ascii="Palatino" w:hAnsi="Palatino" w:cs="Palatino"/>
          <w:sz w:val="24"/>
        </w:rPr>
      </w:pPr>
      <w:r>
        <w:rPr>
          <w:rFonts w:cs="Palatino" w:ascii="Palatino" w:hAnsi="Palatino"/>
          <w:sz w:val="24"/>
        </w:rPr>
        <w:t>Physical media with derivatives embedded</w:t>
      </w:r>
    </w:p>
    <w:p>
      <w:pPr>
        <w:pStyle w:val="Normal"/>
        <w:numPr>
          <w:ilvl w:val="0"/>
          <w:numId w:val="6"/>
        </w:numPr>
        <w:tabs>
          <w:tab w:val="clear" w:pos="720"/>
          <w:tab w:val="left" w:pos="2520" w:leader="none"/>
        </w:tabs>
        <w:ind w:hanging="360" w:start="2520" w:end="0"/>
        <w:rPr>
          <w:rFonts w:ascii="Palatino" w:hAnsi="Palatino" w:cs="Palatino"/>
          <w:sz w:val="24"/>
        </w:rPr>
      </w:pPr>
      <w:r>
        <w:rPr>
          <w:rFonts w:cs="Palatino" w:ascii="Palatino" w:hAnsi="Palatino"/>
          <w:sz w:val="24"/>
        </w:rPr>
        <w:t>Financial Hedges</w:t>
      </w:r>
    </w:p>
    <w:p>
      <w:pPr>
        <w:pStyle w:val="Normal"/>
        <w:numPr>
          <w:ilvl w:val="0"/>
          <w:numId w:val="6"/>
        </w:numPr>
        <w:tabs>
          <w:tab w:val="clear" w:pos="720"/>
          <w:tab w:val="left" w:pos="2520" w:leader="none"/>
        </w:tabs>
        <w:ind w:hanging="360" w:start="2520" w:end="0"/>
        <w:rPr>
          <w:rFonts w:ascii="Palatino" w:hAnsi="Palatino" w:cs="Palatino"/>
          <w:sz w:val="24"/>
        </w:rPr>
      </w:pPr>
      <w:r>
        <w:rPr>
          <w:rFonts w:cs="Palatino" w:ascii="Palatino" w:hAnsi="Palatino"/>
          <w:sz w:val="24"/>
        </w:rPr>
        <w:t>Convert index contracts to fixed price sales</w:t>
      </w:r>
    </w:p>
    <w:p>
      <w:pPr>
        <w:pStyle w:val="Normal"/>
        <w:ind w:start="360" w:end="0"/>
        <w:rPr>
          <w:rFonts w:ascii="Palatino" w:hAnsi="Palatino" w:cs="Palatino"/>
          <w:sz w:val="24"/>
        </w:rPr>
      </w:pPr>
      <w:r>
        <w:rPr>
          <w:rFonts w:cs="Palatino" w:ascii="Palatino" w:hAnsi="Palatino"/>
          <w:sz w:val="24"/>
        </w:rPr>
        <w:t>New clients:</w:t>
      </w:r>
    </w:p>
    <w:p>
      <w:pPr>
        <w:pStyle w:val="Normal"/>
        <w:numPr>
          <w:ilvl w:val="0"/>
          <w:numId w:val="5"/>
        </w:numPr>
        <w:tabs>
          <w:tab w:val="clear" w:pos="720"/>
          <w:tab w:val="left" w:pos="2520" w:leader="none"/>
        </w:tabs>
        <w:ind w:hanging="360" w:start="2520" w:end="0"/>
        <w:rPr>
          <w:rFonts w:ascii="Palatino" w:hAnsi="Palatino" w:cs="Palatino"/>
          <w:sz w:val="24"/>
        </w:rPr>
      </w:pPr>
      <w:r>
        <w:rPr>
          <w:rFonts w:cs="Palatino" w:ascii="Palatino" w:hAnsi="Palatino"/>
          <w:sz w:val="24"/>
        </w:rPr>
        <w:t>Potentially Traditional Media buy at low margin</w:t>
      </w:r>
    </w:p>
    <w:p>
      <w:pPr>
        <w:pStyle w:val="Normal"/>
        <w:numPr>
          <w:ilvl w:val="0"/>
          <w:numId w:val="5"/>
        </w:numPr>
        <w:tabs>
          <w:tab w:val="clear" w:pos="720"/>
          <w:tab w:val="left" w:pos="2520" w:leader="none"/>
        </w:tabs>
        <w:ind w:hanging="360" w:start="2520" w:end="0"/>
        <w:rPr>
          <w:rFonts w:ascii="Palatino" w:hAnsi="Palatino" w:cs="Palatino"/>
          <w:sz w:val="24"/>
        </w:rPr>
      </w:pPr>
      <w:r>
        <w:rPr>
          <w:rFonts w:cs="Palatino" w:ascii="Palatino" w:hAnsi="Palatino"/>
          <w:sz w:val="24"/>
        </w:rPr>
        <w:t>Structured/Packaged sale of media at higher margins.</w:t>
      </w:r>
    </w:p>
    <w:p>
      <w:pPr>
        <w:pStyle w:val="Normal"/>
        <w:rPr>
          <w:rFonts w:ascii="Palatino" w:hAnsi="Palatino" w:cs="Palatino"/>
          <w:i/>
          <w:i/>
          <w:sz w:val="24"/>
        </w:rPr>
      </w:pPr>
      <w:r>
        <w:rPr>
          <w:rFonts w:cs="Palatino" w:ascii="Palatino" w:hAnsi="Palatino"/>
          <w:i/>
          <w:sz w:val="24"/>
        </w:rPr>
      </w:r>
    </w:p>
    <w:p>
      <w:pPr>
        <w:pStyle w:val="Heading4"/>
        <w:ind w:hanging="0" w:start="0"/>
        <w:rPr>
          <w:b/>
        </w:rPr>
      </w:pPr>
      <w:r>
        <w:rPr>
          <w:rFonts w:eastAsia="Palatino"/>
          <w:b/>
        </w:rPr>
        <w:t xml:space="preserve">  </w:t>
      </w:r>
      <w:r>
        <w:rPr>
          <w:b/>
        </w:rPr>
        <w:t>Expenses</w:t>
      </w:r>
    </w:p>
    <w:p>
      <w:pPr>
        <w:pStyle w:val="Normal"/>
        <w:rPr>
          <w:rFonts w:ascii="Palatino" w:hAnsi="Palatino" w:cs="Palatino"/>
          <w:b/>
          <w:sz w:val="24"/>
        </w:rPr>
      </w:pPr>
      <w:r>
        <w:rPr>
          <w:rFonts w:cs="Palatino" w:ascii="Palatino" w:hAnsi="Palatino"/>
          <w:b/>
          <w:sz w:val="24"/>
        </w:rPr>
      </w:r>
    </w:p>
    <w:p>
      <w:pPr>
        <w:pStyle w:val="Normal"/>
        <w:ind w:firstLine="360" w:end="0"/>
        <w:rPr>
          <w:rFonts w:ascii="Palatino" w:hAnsi="Palatino" w:cs="Palatino"/>
          <w:sz w:val="24"/>
        </w:rPr>
      </w:pPr>
      <w:r>
        <w:rPr>
          <w:rFonts w:cs="Palatino" w:ascii="Palatino" w:hAnsi="Palatino"/>
          <w:sz w:val="24"/>
        </w:rPr>
        <w:t>Media Purchases/Sales:</w:t>
      </w:r>
    </w:p>
    <w:p>
      <w:pPr>
        <w:pStyle w:val="Normal"/>
        <w:numPr>
          <w:ilvl w:val="0"/>
          <w:numId w:val="4"/>
        </w:numPr>
        <w:tabs>
          <w:tab w:val="clear" w:pos="720"/>
          <w:tab w:val="left" w:pos="2520" w:leader="none"/>
        </w:tabs>
        <w:ind w:hanging="360" w:start="2520" w:end="0"/>
        <w:rPr>
          <w:rFonts w:ascii="Palatino" w:hAnsi="Palatino" w:cs="Palatino"/>
          <w:sz w:val="24"/>
        </w:rPr>
      </w:pPr>
      <w:r>
        <w:rPr>
          <w:rFonts w:cs="Palatino" w:ascii="Palatino" w:hAnsi="Palatino"/>
          <w:sz w:val="24"/>
        </w:rPr>
        <w:t>Below market media (at closure of media purchase) for up to 7 years in term</w:t>
      </w:r>
    </w:p>
    <w:p>
      <w:pPr>
        <w:pStyle w:val="Normal"/>
        <w:numPr>
          <w:ilvl w:val="0"/>
          <w:numId w:val="4"/>
        </w:numPr>
        <w:tabs>
          <w:tab w:val="clear" w:pos="720"/>
          <w:tab w:val="left" w:pos="2520" w:leader="none"/>
        </w:tabs>
        <w:ind w:hanging="360" w:start="2520" w:end="0"/>
        <w:rPr>
          <w:rFonts w:ascii="Palatino" w:hAnsi="Palatino" w:cs="Palatino"/>
          <w:sz w:val="24"/>
        </w:rPr>
      </w:pPr>
      <w:r>
        <w:rPr>
          <w:rFonts w:cs="Palatino" w:ascii="Palatino" w:hAnsi="Palatino"/>
          <w:sz w:val="24"/>
        </w:rPr>
        <w:t>Financial hedges to sell to media company</w:t>
      </w:r>
    </w:p>
    <w:p>
      <w:pPr>
        <w:pStyle w:val="Normal"/>
        <w:rPr>
          <w:rFonts w:ascii="Palatino" w:hAnsi="Palatino" w:cs="Palatino"/>
          <w:sz w:val="24"/>
        </w:rPr>
      </w:pPr>
      <w:r>
        <w:rPr>
          <w:rFonts w:cs="Palatino" w:ascii="Palatino" w:hAnsi="Palatino"/>
          <w:sz w:val="24"/>
        </w:rPr>
      </w:r>
    </w:p>
    <w:p>
      <w:pPr>
        <w:pStyle w:val="Normal"/>
        <w:ind w:firstLine="360" w:end="0"/>
        <w:rPr>
          <w:rFonts w:ascii="Palatino" w:hAnsi="Palatino" w:cs="Palatino"/>
          <w:sz w:val="24"/>
        </w:rPr>
      </w:pPr>
      <w:r>
        <w:rPr>
          <w:rFonts w:cs="Palatino" w:ascii="Palatino" w:hAnsi="Palatino"/>
          <w:sz w:val="24"/>
        </w:rPr>
        <w:t>General &amp; Administrative:</w:t>
      </w:r>
    </w:p>
    <w:p>
      <w:pPr>
        <w:pStyle w:val="Normal"/>
        <w:numPr>
          <w:ilvl w:val="0"/>
          <w:numId w:val="3"/>
        </w:numPr>
        <w:tabs>
          <w:tab w:val="clear" w:pos="720"/>
          <w:tab w:val="left" w:pos="2520" w:leader="none"/>
        </w:tabs>
        <w:ind w:hanging="360" w:start="2520" w:end="0"/>
        <w:rPr>
          <w:rFonts w:ascii="Palatino" w:hAnsi="Palatino" w:cs="Palatino"/>
          <w:sz w:val="24"/>
        </w:rPr>
      </w:pPr>
      <w:r>
        <w:rPr>
          <w:rFonts w:cs="Palatino" w:ascii="Palatino" w:hAnsi="Palatino"/>
          <w:sz w:val="24"/>
        </w:rPr>
        <w:t>Media inventory would be available to all IPG buyers on a intranet site to minimize the time and expense of placing avails, pricing, etc.   As the overall portfolio of media expands, fewer  media buyers would be needed to support the organization.</w:t>
      </w:r>
    </w:p>
    <w:p>
      <w:pPr>
        <w:pStyle w:val="Normal"/>
        <w:numPr>
          <w:ilvl w:val="0"/>
          <w:numId w:val="2"/>
        </w:numPr>
        <w:tabs>
          <w:tab w:val="clear" w:pos="720"/>
          <w:tab w:val="left" w:pos="2520" w:leader="none"/>
        </w:tabs>
        <w:ind w:hanging="360" w:start="2520" w:end="0"/>
        <w:rPr>
          <w:rFonts w:ascii="Palatino" w:hAnsi="Palatino" w:cs="Palatino"/>
          <w:sz w:val="24"/>
        </w:rPr>
      </w:pPr>
      <w:r>
        <w:rPr>
          <w:rFonts w:cs="Palatino" w:ascii="Palatino" w:hAnsi="Palatino"/>
          <w:sz w:val="24"/>
        </w:rPr>
        <w:t>EnronMediaOnline increases the speed of delivering a media buy to clients and reduces the extent of monthly paper reporting.</w:t>
      </w:r>
    </w:p>
    <w:p>
      <w:pPr>
        <w:pStyle w:val="Normal"/>
        <w:spacing w:lineRule="atLeast" w:line="240"/>
        <w:rPr>
          <w:rFonts w:ascii="Palatino" w:hAnsi="Palatino" w:cs="Palatino"/>
          <w:color w:val="000000"/>
          <w:sz w:val="24"/>
          <w:lang w:eastAsia="en-US"/>
        </w:rPr>
      </w:pPr>
      <w:r>
        <w:rPr>
          <w:rFonts w:cs="Palatino" w:ascii="Palatino" w:hAnsi="Palatino"/>
          <w:color w:val="000000"/>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4"/>
      </w:rPr>
    </w:lvl>
  </w:abstractNum>
  <w:abstractNum w:abstractNumId="3">
    <w:lvl w:ilvl="0">
      <w:start w:val="1"/>
      <w:numFmt w:val="bullet"/>
      <w:lvlText w:val=""/>
      <w:lvlJc w:val="start"/>
      <w:pPr>
        <w:tabs>
          <w:tab w:val="num" w:pos="360"/>
        </w:tabs>
        <w:ind w:start="360" w:hanging="360"/>
      </w:pPr>
      <w:rPr>
        <w:rFonts w:ascii="Symbol" w:hAnsi="Symbol" w:cs="Symbol" w:hint="default"/>
        <w:sz w:val="14"/>
      </w:rPr>
    </w:lvl>
  </w:abstractNum>
  <w:abstractNum w:abstractNumId="4">
    <w:lvl w:ilvl="0">
      <w:start w:val="1"/>
      <w:numFmt w:val="bullet"/>
      <w:lvlText w:val=""/>
      <w:lvlJc w:val="start"/>
      <w:pPr>
        <w:tabs>
          <w:tab w:val="num" w:pos="360"/>
        </w:tabs>
        <w:ind w:start="360" w:hanging="360"/>
      </w:pPr>
      <w:rPr>
        <w:rFonts w:ascii="Symbol" w:hAnsi="Symbol" w:cs="Symbol" w:hint="default"/>
        <w:sz w:val="14"/>
      </w:rPr>
    </w:lvl>
  </w:abstractNum>
  <w:abstractNum w:abstractNumId="5">
    <w:lvl w:ilvl="0">
      <w:start w:val="1"/>
      <w:numFmt w:val="bullet"/>
      <w:lvlText w:val=""/>
      <w:lvlJc w:val="start"/>
      <w:pPr>
        <w:tabs>
          <w:tab w:val="num" w:pos="360"/>
        </w:tabs>
        <w:ind w:start="360" w:hanging="360"/>
      </w:pPr>
      <w:rPr>
        <w:rFonts w:ascii="Symbol" w:hAnsi="Symbol" w:cs="Symbol" w:hint="default"/>
        <w:sz w:val="14"/>
      </w:rPr>
    </w:lvl>
  </w:abstractNum>
  <w:abstractNum w:abstractNumId="6">
    <w:lvl w:ilvl="0">
      <w:start w:val="1"/>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rFonts w:ascii="Palatino" w:hAnsi="Palatino" w:cs="Palatino"/>
      <w:b/>
      <w:sz w:val="24"/>
    </w:rPr>
  </w:style>
  <w:style w:type="paragraph" w:styleId="Heading4">
    <w:name w:val="heading 4"/>
    <w:basedOn w:val="Normal"/>
    <w:next w:val="Normal"/>
    <w:qFormat/>
    <w:pPr>
      <w:keepNext w:val="true"/>
      <w:numPr>
        <w:ilvl w:val="3"/>
        <w:numId w:val="1"/>
      </w:numPr>
      <w:outlineLvl w:val="3"/>
    </w:pPr>
    <w:rPr>
      <w:rFonts w:ascii="Palatino" w:hAnsi="Palatino" w:cs="Palatino"/>
      <w:i/>
      <w:sz w:val="24"/>
    </w:rPr>
  </w:style>
  <w:style w:type="paragraph" w:styleId="Heading5">
    <w:name w:val="heading 5"/>
    <w:basedOn w:val="Normal"/>
    <w:next w:val="Normal"/>
    <w:qFormat/>
    <w:pPr>
      <w:keepNext w:val="true"/>
      <w:numPr>
        <w:ilvl w:val="4"/>
        <w:numId w:val="1"/>
      </w:numPr>
      <w:ind w:hanging="0" w:start="180" w:end="0"/>
      <w:outlineLvl w:val="4"/>
    </w:pPr>
    <w:rPr>
      <w:rFonts w:ascii="Palatino" w:hAnsi="Palatino" w:cs="Palatino"/>
      <w:b/>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sz w:val="14"/>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sz w:val="14"/>
    </w:rPr>
  </w:style>
  <w:style w:type="character" w:styleId="WW8Num13z0">
    <w:name w:val="WW8Num13z0"/>
    <w:qFormat/>
    <w:rPr>
      <w:rFonts w:ascii="Symbol" w:hAnsi="Symbol" w:cs="Symbol"/>
    </w:rPr>
  </w:style>
  <w:style w:type="character" w:styleId="WW8Num14z0">
    <w:name w:val="WW8Num14z0"/>
    <w:qFormat/>
    <w:rPr>
      <w:rFonts w:ascii="Symbol" w:hAnsi="Symbol" w:cs="Symbol"/>
      <w:sz w:val="14"/>
    </w:rPr>
  </w:style>
  <w:style w:type="character" w:styleId="WW8Num15z0">
    <w:name w:val="WW8Num15z0"/>
    <w:qFormat/>
    <w:rPr>
      <w:rFonts w:ascii="Symbol" w:hAnsi="Symbol" w:cs="Symbol"/>
    </w:rPr>
  </w:style>
  <w:style w:type="character" w:styleId="WW8Num16z0">
    <w:name w:val="WW8Num16z0"/>
    <w:qFormat/>
    <w:rPr>
      <w:rFonts w:ascii="Symbol" w:hAnsi="Symbol" w:cs="Symbol"/>
      <w:sz w:val="14"/>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sz w:val="14"/>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rFonts w:ascii="Palatino" w:hAnsi="Palatino" w:cs="Palatino"/>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2001-05-18T14:11:00Z</dcterms:created>
  <dc:creator>rebecca_skupin</dc:creator>
  <dc:description/>
  <dc:language>en-CA</dc:language>
  <cp:lastModifiedBy>erik_simpson</cp:lastModifiedBy>
  <cp:lastPrinted>2001-05-18T11:01:00Z</cp:lastPrinted>
  <dcterms:modified xsi:type="dcterms:W3CDTF">2001-05-18T14:11:00Z</dcterms:modified>
  <cp:revision>2</cp:revision>
  <dc:subject/>
  <dc:title>PROJECT HERCULES</dc:title>
</cp:coreProperties>
</file>