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18"/>
        </w:rPr>
      </w:pPr>
      <w:r>
        <w:rPr>
          <w:sz w:val="18"/>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color w:val="FF0000"/>
          <w:sz w:val="18"/>
          <w:u w:val="single"/>
        </w:rPr>
      </w:pPr>
      <w:r>
        <w:rPr>
          <w:color w:val="FF0000"/>
          <w:sz w:val="18"/>
          <w:u w:val="single"/>
        </w:rPr>
        <w:tab/>
        <w:tab/>
      </w:r>
    </w:p>
    <w:tbl>
      <w:tblPr>
        <w:tblW w:w="9358" w:type="dxa"/>
        <w:jc w:val="start"/>
        <w:tblInd w:w="200" w:type="dxa"/>
        <w:tblLayout w:type="fixed"/>
        <w:tblCellMar>
          <w:top w:w="0" w:type="dxa"/>
          <w:start w:w="108" w:type="dxa"/>
          <w:bottom w:w="0" w:type="dxa"/>
          <w:end w:w="108" w:type="dxa"/>
        </w:tblCellMar>
      </w:tblPr>
      <w:tblGrid>
        <w:gridCol w:w="708"/>
        <w:gridCol w:w="5230"/>
        <w:gridCol w:w="1260"/>
        <w:gridCol w:w="2160"/>
      </w:tblGrid>
      <w:tr>
        <w:trPr>
          <w:trHeight w:val="300" w:hRule="exact"/>
        </w:trPr>
        <w:tc>
          <w:tcPr>
            <w:tcW w:w="708" w:type="dxa"/>
            <w:tcBorders/>
          </w:tcPr>
          <w:p>
            <w:pPr>
              <w:pStyle w:val="Normal"/>
              <w:ind w:start="-180" w:end="0"/>
              <w:jc w:val="end"/>
              <w:rPr>
                <w:sz w:val="18"/>
              </w:rPr>
            </w:pPr>
            <w:r>
              <w:rPr>
                <w:sz w:val="18"/>
              </w:rPr>
              <w:t>To:</w:t>
            </w:r>
          </w:p>
        </w:tc>
        <w:tc>
          <w:tcPr>
            <w:tcW w:w="5230" w:type="dxa"/>
            <w:tcBorders/>
          </w:tcPr>
          <w:p>
            <w:pPr>
              <w:pStyle w:val="To"/>
              <w:rPr>
                <w:sz w:val="18"/>
              </w:rPr>
            </w:pPr>
            <w:bookmarkStart w:id="0" w:name="to"/>
            <w:bookmarkEnd w:id="0"/>
            <w:r>
              <w:rPr>
                <w:sz w:val="18"/>
              </w:rPr>
              <w:t>Public Affairs and Administration</w:t>
            </w:r>
          </w:p>
          <w:p>
            <w:pPr>
              <w:pStyle w:val="To"/>
              <w:rPr>
                <w:sz w:val="18"/>
              </w:rPr>
            </w:pPr>
            <w:r>
              <w:rPr>
                <w:sz w:val="18"/>
              </w:rPr>
            </w:r>
          </w:p>
          <w:p>
            <w:pPr>
              <w:pStyle w:val="To"/>
              <w:rPr>
                <w:sz w:val="18"/>
              </w:rPr>
            </w:pPr>
            <w:r>
              <w:rPr>
                <w:sz w:val="18"/>
              </w:rPr>
              <w:t>ECYT</w:t>
            </w:r>
          </w:p>
        </w:tc>
        <w:tc>
          <w:tcPr>
            <w:tcW w:w="1260" w:type="dxa"/>
            <w:tcBorders/>
          </w:tcPr>
          <w:p>
            <w:pPr>
              <w:pStyle w:val="Normal"/>
              <w:snapToGrid w:val="false"/>
              <w:ind w:start="-180" w:end="0"/>
              <w:rPr>
                <w:sz w:val="18"/>
              </w:rPr>
            </w:pPr>
            <w:r>
              <w:rPr>
                <w:sz w:val="18"/>
              </w:rPr>
            </w:r>
          </w:p>
        </w:tc>
        <w:tc>
          <w:tcPr>
            <w:tcW w:w="2160" w:type="dxa"/>
            <w:tcBorders/>
          </w:tcPr>
          <w:p>
            <w:pPr>
              <w:pStyle w:val="Normal"/>
              <w:snapToGrid w:val="false"/>
              <w:rPr>
                <w:sz w:val="18"/>
              </w:rPr>
            </w:pPr>
            <w:r>
              <w:rPr>
                <w:sz w:val="18"/>
              </w:rPr>
            </w:r>
          </w:p>
        </w:tc>
      </w:tr>
      <w:tr>
        <w:trPr>
          <w:trHeight w:val="216" w:hRule="exact"/>
        </w:trPr>
        <w:tc>
          <w:tcPr>
            <w:tcW w:w="708" w:type="dxa"/>
            <w:tcBorders/>
          </w:tcPr>
          <w:p>
            <w:pPr>
              <w:pStyle w:val="Normal"/>
              <w:snapToGrid w:val="false"/>
              <w:ind w:start="-180" w:end="0"/>
              <w:jc w:val="end"/>
              <w:rPr>
                <w:sz w:val="18"/>
              </w:rPr>
            </w:pPr>
            <w:r>
              <w:rPr>
                <w:sz w:val="18"/>
              </w:rPr>
            </w:r>
          </w:p>
        </w:tc>
        <w:tc>
          <w:tcPr>
            <w:tcW w:w="5230" w:type="dxa"/>
            <w:tcBorders/>
          </w:tcPr>
          <w:p>
            <w:pPr>
              <w:pStyle w:val="Normal"/>
              <w:snapToGrid w:val="false"/>
              <w:rPr>
                <w:sz w:val="18"/>
              </w:rPr>
            </w:pPr>
            <w:r>
              <w:rPr>
                <w:sz w:val="18"/>
              </w:rPr>
            </w:r>
          </w:p>
          <w:p>
            <w:pPr>
              <w:pStyle w:val="Normal"/>
              <w:rPr>
                <w:sz w:val="18"/>
              </w:rPr>
            </w:pPr>
            <w:r>
              <w:rPr>
                <w:sz w:val="18"/>
              </w:rPr>
            </w:r>
          </w:p>
        </w:tc>
        <w:tc>
          <w:tcPr>
            <w:tcW w:w="1260" w:type="dxa"/>
            <w:tcBorders/>
          </w:tcPr>
          <w:p>
            <w:pPr>
              <w:pStyle w:val="Normal"/>
              <w:snapToGrid w:val="false"/>
              <w:ind w:start="-180" w:end="0"/>
              <w:rPr>
                <w:sz w:val="18"/>
              </w:rPr>
            </w:pPr>
            <w:r>
              <w:rPr>
                <w:sz w:val="18"/>
              </w:rPr>
            </w:r>
          </w:p>
        </w:tc>
        <w:tc>
          <w:tcPr>
            <w:tcW w:w="2160"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8"/>
              </w:rPr>
            </w:pPr>
            <w:r>
              <w:rPr>
                <w:sz w:val="18"/>
              </w:rPr>
              <w:t>From:</w:t>
            </w:r>
          </w:p>
        </w:tc>
        <w:tc>
          <w:tcPr>
            <w:tcW w:w="5230" w:type="dxa"/>
            <w:tcBorders/>
          </w:tcPr>
          <w:p>
            <w:pPr>
              <w:pStyle w:val="From"/>
              <w:rPr>
                <w:sz w:val="18"/>
              </w:rPr>
            </w:pPr>
            <w:r>
              <w:rPr>
                <w:sz w:val="18"/>
              </w:rPr>
              <w:t>Steve Kean</w:t>
            </w:r>
          </w:p>
        </w:tc>
        <w:tc>
          <w:tcPr>
            <w:tcW w:w="1260" w:type="dxa"/>
            <w:tcBorders/>
          </w:tcPr>
          <w:p>
            <w:pPr>
              <w:pStyle w:val="Normal"/>
              <w:ind w:hanging="44" w:start="-378" w:end="167"/>
              <w:jc w:val="end"/>
              <w:rPr>
                <w:sz w:val="18"/>
              </w:rPr>
            </w:pPr>
            <w:r>
              <w:rPr>
                <w:sz w:val="18"/>
              </w:rPr>
              <w:t>Department:</w:t>
            </w:r>
          </w:p>
        </w:tc>
        <w:tc>
          <w:tcPr>
            <w:tcW w:w="2160" w:type="dxa"/>
            <w:tcBorders/>
          </w:tcPr>
          <w:p>
            <w:pPr>
              <w:pStyle w:val="Department"/>
              <w:rPr>
                <w:sz w:val="18"/>
              </w:rPr>
            </w:pPr>
            <w:bookmarkStart w:id="1" w:name="From"/>
            <w:bookmarkEnd w:id="1"/>
            <w:r>
              <w:rPr>
                <w:sz w:val="18"/>
              </w:rPr>
              <w:t>Other Staff Functions</w:t>
            </w:r>
          </w:p>
        </w:tc>
      </w:tr>
      <w:tr>
        <w:trPr>
          <w:trHeight w:val="216" w:hRule="exact"/>
        </w:trPr>
        <w:tc>
          <w:tcPr>
            <w:tcW w:w="708" w:type="dxa"/>
            <w:tcBorders/>
          </w:tcPr>
          <w:p>
            <w:pPr>
              <w:pStyle w:val="Normal"/>
              <w:snapToGrid w:val="false"/>
              <w:ind w:start="-180" w:end="0"/>
              <w:jc w:val="end"/>
              <w:rPr>
                <w:sz w:val="18"/>
              </w:rPr>
            </w:pPr>
            <w:r>
              <w:rPr>
                <w:sz w:val="18"/>
              </w:rPr>
            </w:r>
          </w:p>
        </w:tc>
        <w:tc>
          <w:tcPr>
            <w:tcW w:w="5230" w:type="dxa"/>
            <w:tcBorders/>
          </w:tcPr>
          <w:p>
            <w:pPr>
              <w:pStyle w:val="Normal"/>
              <w:snapToGrid w:val="false"/>
              <w:rPr>
                <w:sz w:val="18"/>
              </w:rPr>
            </w:pPr>
            <w:r>
              <w:rPr>
                <w:sz w:val="18"/>
              </w:rPr>
            </w:r>
          </w:p>
        </w:tc>
        <w:tc>
          <w:tcPr>
            <w:tcW w:w="1260" w:type="dxa"/>
            <w:tcBorders/>
          </w:tcPr>
          <w:p>
            <w:pPr>
              <w:pStyle w:val="Normal"/>
              <w:snapToGrid w:val="false"/>
              <w:ind w:start="-180" w:end="0"/>
              <w:rPr>
                <w:sz w:val="18"/>
              </w:rPr>
            </w:pPr>
            <w:r>
              <w:rPr>
                <w:sz w:val="18"/>
              </w:rPr>
            </w:r>
          </w:p>
        </w:tc>
        <w:tc>
          <w:tcPr>
            <w:tcW w:w="2160"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8"/>
              </w:rPr>
            </w:pPr>
            <w:r>
              <w:rPr>
                <w:sz w:val="18"/>
              </w:rPr>
              <w:t>Subject:</w:t>
            </w:r>
          </w:p>
        </w:tc>
        <w:tc>
          <w:tcPr>
            <w:tcW w:w="5230" w:type="dxa"/>
            <w:tcBorders>
              <w:bottom w:val="single" w:sz="18" w:space="0" w:color="000000"/>
            </w:tcBorders>
          </w:tcPr>
          <w:p>
            <w:pPr>
              <w:pStyle w:val="Subject"/>
              <w:rPr>
                <w:sz w:val="18"/>
              </w:rPr>
            </w:pPr>
            <w:bookmarkStart w:id="2" w:name="Subject"/>
            <w:bookmarkEnd w:id="2"/>
            <w:r>
              <w:rPr>
                <w:sz w:val="18"/>
              </w:rPr>
              <w:t>1999 Year – End Performance Reviews</w:t>
            </w:r>
          </w:p>
        </w:tc>
        <w:tc>
          <w:tcPr>
            <w:tcW w:w="1260" w:type="dxa"/>
            <w:tcBorders>
              <w:bottom w:val="single" w:sz="18" w:space="0" w:color="000000"/>
            </w:tcBorders>
          </w:tcPr>
          <w:p>
            <w:pPr>
              <w:pStyle w:val="Normal"/>
              <w:ind w:start="-180" w:end="0"/>
              <w:jc w:val="end"/>
              <w:rPr>
                <w:sz w:val="18"/>
              </w:rPr>
            </w:pPr>
            <w:r>
              <w:rPr>
                <w:sz w:val="18"/>
              </w:rPr>
              <w:t>Date:</w:t>
            </w:r>
          </w:p>
        </w:tc>
        <w:tc>
          <w:tcPr>
            <w:tcW w:w="2160" w:type="dxa"/>
            <w:tcBorders>
              <w:bottom w:val="single" w:sz="18" w:space="0" w:color="000000"/>
            </w:tcBorders>
          </w:tcPr>
          <w:p>
            <w:pPr>
              <w:pStyle w:val="Date"/>
              <w:rPr>
                <w:sz w:val="18"/>
              </w:rPr>
            </w:pPr>
            <w:r>
              <w:rPr>
                <w:sz w:val="18"/>
              </w:rPr>
              <w:t>October 22, 1999</w:t>
            </w:r>
          </w:p>
        </w:tc>
      </w:tr>
    </w:tbl>
    <w:p>
      <w:pPr>
        <w:pStyle w:val="Body"/>
        <w:rPr>
          <w:sz w:val="18"/>
        </w:rPr>
      </w:pPr>
      <w:r>
        <w:rPr>
          <w:sz w:val="18"/>
        </w:rPr>
      </w:r>
    </w:p>
    <w:p>
      <w:pPr>
        <w:pStyle w:val="Body"/>
        <w:jc w:val="both"/>
        <w:rPr>
          <w:color w:val="auto"/>
          <w:sz w:val="18"/>
        </w:rPr>
      </w:pPr>
      <w:bookmarkStart w:id="3" w:name="StartOfMemo"/>
      <w:bookmarkEnd w:id="3"/>
      <w:r>
        <w:rPr>
          <w:color w:val="auto"/>
          <w:sz w:val="18"/>
        </w:rPr>
        <w:t>The Human Resources Department has begun preparation for the year-end Performance Review efforts for my organization.  In an effort to move everyone to a common system for performance assessment, my entire organization will be utilizing the Enron North America Performance Management System.  Some of you may familiar with this process as we utilized the system Year-End 1998 and again for our efforts at mid-year.</w:t>
      </w:r>
    </w:p>
    <w:p>
      <w:pPr>
        <w:pStyle w:val="Body"/>
        <w:jc w:val="both"/>
        <w:rPr>
          <w:color w:val="auto"/>
          <w:sz w:val="18"/>
        </w:rPr>
      </w:pPr>
      <w:r>
        <w:rPr>
          <w:color w:val="auto"/>
          <w:sz w:val="18"/>
        </w:rPr>
      </w:r>
    </w:p>
    <w:p>
      <w:pPr>
        <w:pStyle w:val="Body"/>
        <w:jc w:val="both"/>
        <w:rPr>
          <w:color w:val="auto"/>
          <w:sz w:val="18"/>
        </w:rPr>
      </w:pPr>
      <w:r>
        <w:rPr>
          <w:color w:val="auto"/>
          <w:sz w:val="18"/>
        </w:rPr>
        <w:t>For those of you who are new to my organization and to Enron, the primary purpose of this effort is to assess performance, identify developmental needs and provide feedback and coaching to employees.  The Enron North America Performance Management System is an automated, 360 degree-feedback instrument.  This process begins with each employee suggesting a list of reviewers online, which must be approved by their supervisor.  Once the supervisor modifies and/or approves the list of reviewers, the list is forwarded to the reviewers and then the reviewers provide feedback on an employee by completing the online Performance Feedback form.  Data is consolidated at the supervisor level on each employee and presented by department representatives at the business review group meeting for my organization.  At the conclusion of the year-end process, supervisors complete final evaluations for their direct reports and provide employee feedback.</w:t>
      </w:r>
    </w:p>
    <w:p>
      <w:pPr>
        <w:pStyle w:val="Body"/>
        <w:jc w:val="both"/>
        <w:rPr>
          <w:color w:val="auto"/>
          <w:sz w:val="18"/>
        </w:rPr>
      </w:pPr>
      <w:r>
        <w:rPr>
          <w:color w:val="auto"/>
          <w:sz w:val="18"/>
        </w:rPr>
      </w:r>
    </w:p>
    <w:p>
      <w:pPr>
        <w:pStyle w:val="Body"/>
        <w:jc w:val="both"/>
        <w:rPr>
          <w:b/>
          <w:color w:val="auto"/>
          <w:sz w:val="18"/>
        </w:rPr>
      </w:pPr>
      <w:r>
        <w:rPr>
          <w:b/>
          <w:color w:val="auto"/>
          <w:sz w:val="18"/>
        </w:rPr>
        <w:t xml:space="preserve">Because this performance management process is new to many of you, Human Resources has agreed to provide training sessions for my group.   There are new features that will be addressed in these presentations.   Additionally, the “Enron Performance Management Quick Reference Guide” which covers the process from start to finish will be sent directly to you via email.  Human Resources can also provide you with copies of the guide at your request. </w:t>
      </w:r>
    </w:p>
    <w:p>
      <w:pPr>
        <w:pStyle w:val="Body"/>
        <w:jc w:val="both"/>
        <w:rPr>
          <w:b/>
          <w:color w:val="auto"/>
          <w:sz w:val="18"/>
        </w:rPr>
      </w:pPr>
      <w:r>
        <w:rPr>
          <w:b/>
          <w:color w:val="auto"/>
          <w:sz w:val="18"/>
        </w:rPr>
      </w:r>
    </w:p>
    <w:p>
      <w:pPr>
        <w:pStyle w:val="Body"/>
        <w:jc w:val="both"/>
        <w:rPr>
          <w:color w:val="auto"/>
          <w:sz w:val="18"/>
        </w:rPr>
      </w:pPr>
      <w:r>
        <w:rPr>
          <w:color w:val="auto"/>
          <w:sz w:val="18"/>
        </w:rPr>
        <w:t xml:space="preserve">I am aware that some of you do not have computer access.  Human Resources have devised a manual process to facilitate your participation in this effort.  For those of you who are dial-up remote users, an email will be sent to you detailing log on instructions.  All other users should follow instructions outlined in an email directed to you for log on instructions. </w:t>
      </w:r>
    </w:p>
    <w:p>
      <w:pPr>
        <w:pStyle w:val="Body"/>
        <w:rPr>
          <w:color w:val="auto"/>
          <w:sz w:val="18"/>
        </w:rPr>
      </w:pPr>
      <w:r>
        <w:rPr>
          <w:color w:val="auto"/>
          <w:sz w:val="18"/>
        </w:rPr>
      </w:r>
    </w:p>
    <w:p>
      <w:pPr>
        <w:pStyle w:val="Body"/>
        <w:rPr>
          <w:color w:val="auto"/>
          <w:sz w:val="18"/>
        </w:rPr>
      </w:pPr>
      <w:r>
        <w:rPr>
          <w:color w:val="auto"/>
          <w:sz w:val="18"/>
        </w:rPr>
        <w:t>Please note the following calendar for year-end performance review activities.</w:t>
      </w:r>
    </w:p>
    <w:p>
      <w:pPr>
        <w:pStyle w:val="Body"/>
        <w:rPr>
          <w:color w:val="auto"/>
          <w:sz w:val="18"/>
        </w:rPr>
      </w:pPr>
      <w:r>
        <w:rPr>
          <w:color w:val="auto"/>
          <w:sz w:val="18"/>
        </w:rPr>
      </w:r>
    </w:p>
    <w:p>
      <w:pPr>
        <w:pStyle w:val="Body"/>
        <w:ind w:start="-90" w:end="180"/>
        <w:jc w:val="center"/>
        <w:rPr>
          <w:b/>
          <w:color w:val="auto"/>
          <w:sz w:val="18"/>
        </w:rPr>
      </w:pPr>
      <w:r>
        <w:rPr>
          <w:b/>
          <w:color w:val="auto"/>
          <w:sz w:val="18"/>
        </w:rPr>
        <w:t>Year-end Performance Review Process Public Affairs and Administration – October 25 – December 10, 1999</w:t>
      </w:r>
    </w:p>
    <w:tbl>
      <w:tblPr>
        <w:tblW w:w="8568" w:type="dxa"/>
        <w:jc w:val="start"/>
        <w:tblInd w:w="0" w:type="dxa"/>
        <w:tblLayout w:type="fixed"/>
        <w:tblCellMar>
          <w:top w:w="0" w:type="dxa"/>
          <w:start w:w="108" w:type="dxa"/>
          <w:bottom w:w="0" w:type="dxa"/>
          <w:end w:w="108" w:type="dxa"/>
        </w:tblCellMar>
      </w:tblPr>
      <w:tblGrid>
        <w:gridCol w:w="5958"/>
        <w:gridCol w:w="2610"/>
      </w:tblGrid>
      <w:tr>
        <w:trPr/>
        <w:tc>
          <w:tcPr>
            <w:tcW w:w="5958" w:type="dxa"/>
            <w:tcBorders>
              <w:top w:val="single" w:sz="4" w:space="0" w:color="000000"/>
              <w:start w:val="single" w:sz="4" w:space="0" w:color="000000"/>
              <w:bottom w:val="single" w:sz="4" w:space="0" w:color="000000"/>
              <w:end w:val="single" w:sz="4" w:space="0" w:color="000000"/>
            </w:tcBorders>
            <w:shd w:fill="FFFF00" w:val="clear"/>
          </w:tcPr>
          <w:p>
            <w:pPr>
              <w:pStyle w:val="Body"/>
              <w:ind w:start="0" w:end="0"/>
              <w:jc w:val="center"/>
              <w:rPr>
                <w:b/>
                <w:color w:val="auto"/>
                <w:sz w:val="18"/>
              </w:rPr>
            </w:pPr>
            <w:r>
              <w:rPr>
                <w:b/>
                <w:color w:val="auto"/>
                <w:sz w:val="18"/>
              </w:rPr>
              <w:t>Activity</w:t>
            </w:r>
          </w:p>
        </w:tc>
        <w:tc>
          <w:tcPr>
            <w:tcW w:w="2610" w:type="dxa"/>
            <w:tcBorders>
              <w:top w:val="single" w:sz="4" w:space="0" w:color="000000"/>
              <w:start w:val="single" w:sz="4" w:space="0" w:color="000000"/>
              <w:bottom w:val="single" w:sz="4" w:space="0" w:color="000000"/>
              <w:end w:val="single" w:sz="4" w:space="0" w:color="000000"/>
            </w:tcBorders>
            <w:shd w:fill="FFFF00" w:val="clear"/>
          </w:tcPr>
          <w:p>
            <w:pPr>
              <w:pStyle w:val="Body"/>
              <w:ind w:start="0" w:end="0"/>
              <w:jc w:val="center"/>
              <w:rPr>
                <w:b/>
                <w:color w:val="auto"/>
                <w:sz w:val="18"/>
              </w:rPr>
            </w:pPr>
            <w:r>
              <w:rPr>
                <w:b/>
                <w:color w:val="auto"/>
                <w:sz w:val="18"/>
              </w:rPr>
              <w:t>Date</w:t>
            </w:r>
          </w:p>
        </w:tc>
      </w:tr>
      <w:tr>
        <w:trPr/>
        <w:tc>
          <w:tcPr>
            <w:tcW w:w="5958" w:type="dxa"/>
            <w:tcBorders>
              <w:top w:val="single" w:sz="4" w:space="0" w:color="000000"/>
              <w:start w:val="single" w:sz="4" w:space="0" w:color="000000"/>
              <w:bottom w:val="single" w:sz="4" w:space="0" w:color="000000"/>
              <w:end w:val="single" w:sz="4" w:space="0" w:color="000000"/>
            </w:tcBorders>
          </w:tcPr>
          <w:p>
            <w:pPr>
              <w:pStyle w:val="Body"/>
              <w:ind w:start="0" w:end="0"/>
              <w:rPr>
                <w:b/>
                <w:color w:val="auto"/>
                <w:sz w:val="18"/>
              </w:rPr>
            </w:pPr>
            <w:r>
              <w:rPr>
                <w:b/>
                <w:color w:val="auto"/>
                <w:sz w:val="18"/>
              </w:rPr>
              <w:t>Systems Officially Opens for Feedback</w:t>
            </w:r>
          </w:p>
        </w:tc>
        <w:tc>
          <w:tcPr>
            <w:tcW w:w="2610" w:type="dxa"/>
            <w:tcBorders>
              <w:top w:val="single" w:sz="4" w:space="0" w:color="000000"/>
              <w:start w:val="single" w:sz="4" w:space="0" w:color="000000"/>
              <w:bottom w:val="single" w:sz="4" w:space="0" w:color="000000"/>
              <w:end w:val="single" w:sz="4" w:space="0" w:color="000000"/>
            </w:tcBorders>
          </w:tcPr>
          <w:p>
            <w:pPr>
              <w:pStyle w:val="Body"/>
              <w:ind w:start="0" w:end="0"/>
              <w:rPr>
                <w:color w:val="FF0000"/>
                <w:sz w:val="18"/>
              </w:rPr>
            </w:pPr>
            <w:r>
              <w:rPr>
                <w:color w:val="FF0000"/>
                <w:sz w:val="18"/>
              </w:rPr>
              <w:t>10/25/99</w:t>
            </w:r>
          </w:p>
        </w:tc>
      </w:tr>
      <w:tr>
        <w:trPr/>
        <w:tc>
          <w:tcPr>
            <w:tcW w:w="595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pPr>
            <w:r>
              <w:rPr>
                <w:b/>
                <w:sz w:val="18"/>
              </w:rPr>
              <w:t>Performance Management Training Sessions</w:t>
            </w:r>
            <w:r>
              <w:rPr>
                <w:sz w:val="18"/>
              </w:rPr>
              <w:t xml:space="preserve"> </w:t>
            </w:r>
          </w:p>
          <w:p>
            <w:pPr>
              <w:pStyle w:val="Normal"/>
              <w:spacing w:lineRule="atLeast" w:line="240"/>
              <w:rPr>
                <w:color w:val="000000"/>
                <w:sz w:val="18"/>
              </w:rPr>
            </w:pPr>
            <w:r>
              <w:rPr>
                <w:color w:val="000000"/>
                <w:sz w:val="18"/>
              </w:rPr>
              <w:t xml:space="preserve">Contact Arquella Hargrove at ext. 36423 to sign-up for the training sessions.   </w:t>
            </w:r>
          </w:p>
        </w:tc>
        <w:tc>
          <w:tcPr>
            <w:tcW w:w="2610" w:type="dxa"/>
            <w:tcBorders>
              <w:top w:val="single" w:sz="4" w:space="0" w:color="000000"/>
              <w:start w:val="single" w:sz="4" w:space="0" w:color="000000"/>
              <w:bottom w:val="single" w:sz="4" w:space="0" w:color="000000"/>
              <w:end w:val="single" w:sz="4" w:space="0" w:color="000000"/>
            </w:tcBorders>
          </w:tcPr>
          <w:p>
            <w:pPr>
              <w:pStyle w:val="Body"/>
              <w:ind w:start="0" w:end="0"/>
              <w:rPr>
                <w:b/>
                <w:color w:val="FF0000"/>
                <w:sz w:val="18"/>
              </w:rPr>
            </w:pPr>
            <w:r>
              <w:rPr>
                <w:b/>
                <w:color w:val="FF0000"/>
                <w:sz w:val="18"/>
              </w:rPr>
              <w:t>10/26 (EB 1042):</w:t>
            </w:r>
          </w:p>
          <w:p>
            <w:pPr>
              <w:pStyle w:val="Body"/>
              <w:ind w:start="0" w:end="0"/>
              <w:rPr>
                <w:color w:val="FF0000"/>
                <w:sz w:val="18"/>
              </w:rPr>
            </w:pPr>
            <w:r>
              <w:rPr>
                <w:color w:val="FF0000"/>
                <w:sz w:val="18"/>
              </w:rPr>
              <w:t>9:00 – 12:30 and 3:00 – 4:30</w:t>
            </w:r>
          </w:p>
          <w:p>
            <w:pPr>
              <w:pStyle w:val="Body"/>
              <w:ind w:start="0" w:end="0"/>
              <w:rPr>
                <w:b/>
                <w:color w:val="FF0000"/>
                <w:sz w:val="18"/>
              </w:rPr>
            </w:pPr>
            <w:r>
              <w:rPr>
                <w:b/>
                <w:color w:val="FF0000"/>
                <w:sz w:val="18"/>
              </w:rPr>
              <w:t>10/29 (EB 552):</w:t>
            </w:r>
          </w:p>
          <w:p>
            <w:pPr>
              <w:pStyle w:val="Body"/>
              <w:ind w:start="0" w:end="0"/>
              <w:rPr>
                <w:color w:val="FF0000"/>
                <w:sz w:val="18"/>
              </w:rPr>
            </w:pPr>
            <w:r>
              <w:rPr>
                <w:color w:val="FF0000"/>
                <w:sz w:val="18"/>
              </w:rPr>
              <w:t xml:space="preserve">9:00 – 11:00 </w:t>
            </w:r>
          </w:p>
        </w:tc>
      </w:tr>
      <w:tr>
        <w:trPr/>
        <w:tc>
          <w:tcPr>
            <w:tcW w:w="5958" w:type="dxa"/>
            <w:tcBorders>
              <w:top w:val="single" w:sz="4" w:space="0" w:color="000000"/>
              <w:start w:val="single" w:sz="4" w:space="0" w:color="000000"/>
              <w:bottom w:val="single" w:sz="4" w:space="0" w:color="000000"/>
              <w:end w:val="single" w:sz="4" w:space="0" w:color="000000"/>
            </w:tcBorders>
          </w:tcPr>
          <w:p>
            <w:pPr>
              <w:pStyle w:val="Body"/>
              <w:ind w:start="0" w:end="0"/>
              <w:rPr>
                <w:b/>
                <w:color w:val="auto"/>
                <w:sz w:val="18"/>
              </w:rPr>
            </w:pPr>
            <w:r>
              <w:rPr>
                <w:b/>
                <w:color w:val="auto"/>
                <w:sz w:val="18"/>
              </w:rPr>
              <w:t>Deadline to complete employee feedback</w:t>
            </w:r>
          </w:p>
        </w:tc>
        <w:tc>
          <w:tcPr>
            <w:tcW w:w="2610" w:type="dxa"/>
            <w:tcBorders>
              <w:top w:val="single" w:sz="4" w:space="0" w:color="000000"/>
              <w:start w:val="single" w:sz="4" w:space="0" w:color="000000"/>
              <w:bottom w:val="single" w:sz="4" w:space="0" w:color="000000"/>
              <w:end w:val="single" w:sz="4" w:space="0" w:color="000000"/>
            </w:tcBorders>
          </w:tcPr>
          <w:p>
            <w:pPr>
              <w:pStyle w:val="Body"/>
              <w:ind w:start="0" w:end="0"/>
              <w:rPr>
                <w:color w:val="FF0000"/>
                <w:sz w:val="18"/>
              </w:rPr>
            </w:pPr>
            <w:r>
              <w:rPr>
                <w:color w:val="FF0000"/>
                <w:sz w:val="18"/>
              </w:rPr>
              <w:t>11/20/99</w:t>
            </w:r>
          </w:p>
        </w:tc>
      </w:tr>
      <w:tr>
        <w:trPr/>
        <w:tc>
          <w:tcPr>
            <w:tcW w:w="5958" w:type="dxa"/>
            <w:tcBorders>
              <w:top w:val="single" w:sz="4" w:space="0" w:color="000000"/>
              <w:start w:val="single" w:sz="4" w:space="0" w:color="000000"/>
              <w:bottom w:val="single" w:sz="4" w:space="0" w:color="000000"/>
              <w:end w:val="single" w:sz="4" w:space="0" w:color="000000"/>
            </w:tcBorders>
          </w:tcPr>
          <w:p>
            <w:pPr>
              <w:pStyle w:val="Body"/>
              <w:ind w:start="0" w:end="0"/>
              <w:rPr>
                <w:b/>
                <w:color w:val="auto"/>
                <w:sz w:val="18"/>
              </w:rPr>
            </w:pPr>
            <w:r>
              <w:rPr>
                <w:b/>
                <w:color w:val="auto"/>
                <w:sz w:val="18"/>
              </w:rPr>
              <w:t>PRC Meeting for Public Affairs and Administration</w:t>
            </w:r>
          </w:p>
        </w:tc>
        <w:tc>
          <w:tcPr>
            <w:tcW w:w="2610" w:type="dxa"/>
            <w:tcBorders>
              <w:top w:val="single" w:sz="4" w:space="0" w:color="000000"/>
              <w:start w:val="single" w:sz="4" w:space="0" w:color="000000"/>
              <w:bottom w:val="single" w:sz="4" w:space="0" w:color="000000"/>
              <w:end w:val="single" w:sz="4" w:space="0" w:color="000000"/>
            </w:tcBorders>
          </w:tcPr>
          <w:p>
            <w:pPr>
              <w:pStyle w:val="Body"/>
              <w:ind w:start="0" w:end="0"/>
              <w:rPr>
                <w:color w:val="FF0000"/>
                <w:sz w:val="18"/>
              </w:rPr>
            </w:pPr>
            <w:r>
              <w:rPr>
                <w:color w:val="FF0000"/>
                <w:sz w:val="18"/>
              </w:rPr>
              <w:t>12/10/99</w:t>
            </w:r>
          </w:p>
        </w:tc>
      </w:tr>
      <w:tr>
        <w:trPr/>
        <w:tc>
          <w:tcPr>
            <w:tcW w:w="5958" w:type="dxa"/>
            <w:tcBorders>
              <w:top w:val="single" w:sz="4" w:space="0" w:color="000000"/>
              <w:start w:val="single" w:sz="4" w:space="0" w:color="000000"/>
              <w:bottom w:val="single" w:sz="4" w:space="0" w:color="000000"/>
              <w:end w:val="single" w:sz="4" w:space="0" w:color="000000"/>
            </w:tcBorders>
          </w:tcPr>
          <w:p>
            <w:pPr>
              <w:pStyle w:val="Body"/>
              <w:ind w:start="0" w:end="0"/>
              <w:rPr>
                <w:b/>
                <w:color w:val="auto"/>
                <w:sz w:val="18"/>
              </w:rPr>
            </w:pPr>
            <w:r>
              <w:rPr>
                <w:b/>
                <w:color w:val="auto"/>
                <w:sz w:val="18"/>
              </w:rPr>
              <w:t>Supervisors/Managers meet with employees to discuss performance feedback</w:t>
            </w:r>
          </w:p>
        </w:tc>
        <w:tc>
          <w:tcPr>
            <w:tcW w:w="2610" w:type="dxa"/>
            <w:tcBorders>
              <w:top w:val="single" w:sz="4" w:space="0" w:color="000000"/>
              <w:start w:val="single" w:sz="4" w:space="0" w:color="000000"/>
              <w:bottom w:val="single" w:sz="4" w:space="0" w:color="000000"/>
              <w:end w:val="single" w:sz="4" w:space="0" w:color="000000"/>
            </w:tcBorders>
          </w:tcPr>
          <w:p>
            <w:pPr>
              <w:pStyle w:val="Body"/>
              <w:ind w:start="0" w:end="0"/>
              <w:rPr>
                <w:color w:val="FF0000"/>
                <w:sz w:val="18"/>
              </w:rPr>
            </w:pPr>
            <w:r>
              <w:rPr>
                <w:color w:val="FF0000"/>
                <w:sz w:val="18"/>
              </w:rPr>
              <w:t>TBD</w:t>
            </w:r>
          </w:p>
        </w:tc>
      </w:tr>
    </w:tbl>
    <w:p>
      <w:pPr>
        <w:pStyle w:val="Body"/>
        <w:ind w:start="0" w:end="0"/>
        <w:rPr>
          <w:color w:val="auto"/>
          <w:sz w:val="18"/>
        </w:rPr>
      </w:pPr>
      <w:r>
        <w:rPr>
          <w:color w:val="auto"/>
          <w:sz w:val="18"/>
        </w:rPr>
      </w:r>
    </w:p>
    <w:p>
      <w:pPr>
        <w:pStyle w:val="Body"/>
        <w:ind w:start="0" w:end="0"/>
        <w:jc w:val="both"/>
        <w:rPr>
          <w:color w:val="auto"/>
          <w:sz w:val="18"/>
        </w:rPr>
      </w:pPr>
      <w:r>
        <w:rPr>
          <w:color w:val="auto"/>
          <w:sz w:val="18"/>
        </w:rPr>
        <w:t xml:space="preserve">It is critical that we all adhere to the schedule with regards to the rollout of the year-end Review process.  I look forward to your participation and support of this effort.  Please contact me directly or the HR Team, Gwen Petteway (713/853-7351), Gwendolyn Williams at (713/853-5324) or Arquella Hargrove at (713) 853-6423 for specific questions. </w:t>
      </w:r>
    </w:p>
    <w:p>
      <w:pPr>
        <w:pStyle w:val="Body"/>
        <w:ind w:start="0" w:end="0"/>
        <w:jc w:val="both"/>
        <w:rPr>
          <w:color w:val="auto"/>
          <w:sz w:val="18"/>
        </w:rPr>
      </w:pPr>
      <w:r>
        <w:rPr>
          <w:color w:val="auto"/>
          <w:sz w:val="18"/>
        </w:rPr>
      </w:r>
    </w:p>
    <w:p>
      <w:pPr>
        <w:pStyle w:val="Body"/>
        <w:rPr>
          <w:color w:val="auto"/>
          <w:sz w:val="18"/>
        </w:rPr>
      </w:pPr>
      <w:r>
        <w:rPr>
          <w:color w:val="auto"/>
          <w:sz w:val="18"/>
        </w:rPr>
        <w:t>cc:</w:t>
        <w:tab/>
        <w:t>Cindy Olson</w:t>
      </w:r>
    </w:p>
    <w:p>
      <w:pPr>
        <w:pStyle w:val="Body"/>
        <w:rPr>
          <w:color w:val="auto"/>
          <w:sz w:val="18"/>
        </w:rPr>
      </w:pPr>
      <w:r>
        <w:rPr>
          <w:color w:val="auto"/>
          <w:sz w:val="18"/>
        </w:rPr>
        <w:tab/>
        <w:t>Gwen Petteway</w:t>
      </w:r>
    </w:p>
    <w:p>
      <w:pPr>
        <w:pStyle w:val="Body"/>
        <w:rPr>
          <w:color w:val="auto"/>
          <w:sz w:val="18"/>
        </w:rPr>
      </w:pPr>
      <w:r>
        <w:rPr>
          <w:color w:val="auto"/>
          <w:sz w:val="18"/>
        </w:rPr>
      </w:r>
    </w:p>
    <w:sectPr>
      <w:headerReference w:type="default" r:id="rId3"/>
      <w:headerReference w:type="first" r:id="rId4"/>
      <w:footerReference w:type="default" r:id="rId5"/>
      <w:footerReference w:type="first" r:id="rId6"/>
      <w:type w:val="nextPage"/>
      <w:pgSz w:w="12240" w:h="15840"/>
      <w:pgMar w:left="1440" w:right="1440" w:gutter="0" w:header="720" w:top="776" w:footer="360" w:bottom="66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1" allowOverlap="1" relativeHeight="0">
              <wp:simplePos x="0" y="0"/>
              <wp:positionH relativeFrom="page">
                <wp:posOffset>2556510</wp:posOffset>
              </wp:positionH>
              <wp:positionV relativeFrom="paragraph">
                <wp:posOffset>635</wp:posOffset>
              </wp:positionV>
              <wp:extent cx="3877310" cy="658495"/>
              <wp:effectExtent l="0" t="0" r="0" b="0"/>
              <wp:wrapSquare wrapText="bothSides"/>
              <wp:docPr id="2" name="Frame2"/>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201.3pt;mso-position-horizontal-relative:page">
              <v:fill opacity="0f"/>
              <v:textbox inset="0in,0in,0in,0in">
                <w:txbxContent>
                  <w:p>
                    <w:pPr>
                      <w:pStyle w:val="Normal"/>
                      <w:ind w:start="3600" w:end="0"/>
                      <w:rPr>
                        <w:b/>
                        <w:sz w:val="32"/>
                      </w:rPr>
                    </w:pPr>
                    <w:r>
                      <w:rPr>
                        <w:b/>
                        <w:sz w:val="32"/>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294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BFSMEMO1.dot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1999-10-22T18:46:00Z</dcterms:created>
  <dc:creator>Anna Docwra</dc:creator>
  <dc:description/>
  <dc:language>en-CA</dc:language>
  <cp:lastModifiedBy>mmcvicke</cp:lastModifiedBy>
  <cp:lastPrinted>1999-10-25T09:18:00Z</cp:lastPrinted>
  <dcterms:modified xsi:type="dcterms:W3CDTF">1999-10-25T11:54:00Z</dcterms:modified>
  <cp:revision>3</cp:revision>
  <dc:subject>1999 Second Tier Option Grants</dc:subject>
  <dc:title>Better, Faster, Simpler Memo </dc:title>
</cp:coreProperties>
</file>