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r>
    </w:p>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Jim Steffes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Jennifer Thome</w:t>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Mid-Year PRC</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2" w:name="StartOfMemo"/>
      <w:bookmarkStart w:id="3" w:name="StartOfMemo"/>
      <w:bookmarkEnd w:id="3"/>
    </w:p>
    <w:p>
      <w:pPr>
        <w:pStyle w:val="Body"/>
        <w:ind w:start="0" w:end="0"/>
        <w:rPr>
          <w:color w:val="000000"/>
        </w:rPr>
      </w:pPr>
      <w:r>
        <w:rPr>
          <w:rFonts w:eastAsia="Arial"/>
          <w:color w:val="000000"/>
        </w:rPr>
        <w:t xml:space="preserve"> </w:t>
      </w:r>
      <w:r>
        <w:rPr>
          <w:color w:val="000000"/>
        </w:rPr>
        <w:t>This memo provides the information your requested in preparation for the mid-year PRC.</w:t>
      </w:r>
    </w:p>
    <w:p>
      <w:pPr>
        <w:pStyle w:val="Body"/>
        <w:rPr>
          <w:color w:val="000000"/>
        </w:rPr>
      </w:pPr>
      <w:r>
        <w:rPr>
          <w:color w:val="000000"/>
        </w:rPr>
      </w:r>
    </w:p>
    <w:p>
      <w:pPr>
        <w:pStyle w:val="Body"/>
        <w:rPr>
          <w:b/>
          <w:bCs/>
          <w:color w:val="000000"/>
          <w:u w:val="single"/>
        </w:rPr>
      </w:pPr>
      <w:r>
        <w:rPr>
          <w:b/>
          <w:bCs/>
          <w:color w:val="000000"/>
          <w:u w:val="single"/>
        </w:rPr>
        <w:t>Supervisor at EnronOnline</w:t>
      </w:r>
    </w:p>
    <w:p>
      <w:pPr>
        <w:pStyle w:val="Body"/>
        <w:rPr>
          <w:color w:val="000000"/>
        </w:rPr>
      </w:pPr>
      <w:r>
        <w:rPr>
          <w:color w:val="000000"/>
        </w:rPr>
        <w:t>Mike Bridges, Director – x54079</w:t>
      </w:r>
    </w:p>
    <w:p>
      <w:pPr>
        <w:pStyle w:val="Body"/>
        <w:rPr>
          <w:color w:val="000000"/>
        </w:rPr>
      </w:pPr>
      <w:r>
        <w:rPr>
          <w:color w:val="000000"/>
        </w:rPr>
        <w:t>(Note: My direct supervisor, Dave Samuels, recently left Enron.  However, as Mike and I worked together extensively, he will be able to accurately describe my skills and performance.)</w:t>
      </w:r>
    </w:p>
    <w:p>
      <w:pPr>
        <w:pStyle w:val="Body"/>
        <w:rPr>
          <w:color w:val="000000"/>
        </w:rPr>
      </w:pPr>
      <w:r>
        <w:rPr>
          <w:color w:val="000000"/>
        </w:rPr>
      </w:r>
    </w:p>
    <w:p>
      <w:pPr>
        <w:pStyle w:val="Body"/>
        <w:rPr>
          <w:b/>
          <w:bCs/>
          <w:color w:val="000000"/>
          <w:u w:val="single"/>
        </w:rPr>
      </w:pPr>
      <w:r>
        <w:rPr>
          <w:b/>
          <w:bCs/>
          <w:color w:val="000000"/>
          <w:u w:val="single"/>
        </w:rPr>
        <w:t>Requested Reviewers</w:t>
      </w:r>
    </w:p>
    <w:p>
      <w:pPr>
        <w:pStyle w:val="Body"/>
        <w:rPr>
          <w:color w:val="000000"/>
        </w:rPr>
      </w:pPr>
      <w:r>
        <w:rPr>
          <w:color w:val="000000"/>
        </w:rPr>
        <w:t>Rick Shapiro</w:t>
      </w:r>
    </w:p>
    <w:p>
      <w:pPr>
        <w:pStyle w:val="Body"/>
        <w:rPr>
          <w:color w:val="000000"/>
        </w:rPr>
      </w:pPr>
      <w:r>
        <w:rPr>
          <w:color w:val="000000"/>
        </w:rPr>
        <w:t>Jim Steffes</w:t>
      </w:r>
    </w:p>
    <w:p>
      <w:pPr>
        <w:pStyle w:val="Body"/>
        <w:rPr>
          <w:color w:val="000000"/>
        </w:rPr>
      </w:pPr>
      <w:r>
        <w:rPr>
          <w:color w:val="000000"/>
        </w:rPr>
        <w:t>Sue Landwehr</w:t>
      </w:r>
    </w:p>
    <w:p>
      <w:pPr>
        <w:pStyle w:val="Body"/>
        <w:rPr>
          <w:color w:val="000000"/>
        </w:rPr>
      </w:pPr>
      <w:r>
        <w:rPr>
          <w:color w:val="000000"/>
        </w:rPr>
        <w:t>Janel Guerrero</w:t>
      </w:r>
    </w:p>
    <w:p>
      <w:pPr>
        <w:pStyle w:val="Body"/>
        <w:rPr>
          <w:color w:val="000000"/>
        </w:rPr>
      </w:pPr>
      <w:r>
        <w:rPr>
          <w:color w:val="000000"/>
        </w:rPr>
        <w:t>Mike Bridges, Director, EnronOnline (supervisor)</w:t>
      </w:r>
    </w:p>
    <w:p>
      <w:pPr>
        <w:pStyle w:val="Body"/>
        <w:rPr>
          <w:color w:val="000000"/>
        </w:rPr>
      </w:pPr>
      <w:r>
        <w:rPr>
          <w:color w:val="000000"/>
        </w:rPr>
        <w:t>Robert Cass, Manager, EnronOnline (colleague)</w:t>
      </w:r>
    </w:p>
    <w:p>
      <w:pPr>
        <w:pStyle w:val="Body"/>
        <w:ind w:start="0" w:end="0"/>
        <w:rPr>
          <w:b/>
          <w:bCs/>
          <w:color w:val="000000"/>
        </w:rPr>
      </w:pPr>
      <w:r>
        <w:rPr>
          <w:b/>
          <w:bCs/>
          <w:color w:val="000000"/>
        </w:rPr>
      </w:r>
    </w:p>
    <w:p>
      <w:pPr>
        <w:pStyle w:val="Body"/>
        <w:ind w:start="0" w:end="0"/>
        <w:rPr>
          <w:b/>
          <w:bCs/>
          <w:color w:val="000000"/>
          <w:u w:val="single"/>
        </w:rPr>
      </w:pPr>
      <w:r>
        <w:rPr>
          <w:b/>
          <w:bCs/>
          <w:color w:val="000000"/>
          <w:u w:val="single"/>
        </w:rPr>
        <w:t>Accomplishments YTD</w:t>
      </w:r>
    </w:p>
    <w:p>
      <w:pPr>
        <w:pStyle w:val="Body"/>
        <w:ind w:start="0" w:end="0"/>
        <w:rPr>
          <w:b/>
          <w:bCs/>
          <w:color w:val="000000"/>
          <w:u w:val="single"/>
        </w:rPr>
      </w:pPr>
      <w:r>
        <w:rPr>
          <w:b/>
          <w:bCs/>
          <w:color w:val="000000"/>
          <w:u w:val="single"/>
        </w:rPr>
      </w:r>
    </w:p>
    <w:p>
      <w:pPr>
        <w:pStyle w:val="Body"/>
        <w:ind w:start="0" w:end="0"/>
        <w:rPr>
          <w:color w:val="000000"/>
        </w:rPr>
      </w:pPr>
      <w:r>
        <w:rPr>
          <w:i/>
          <w:iCs/>
          <w:color w:val="000000"/>
        </w:rPr>
        <w:t>Through March 17 (EnronOnline):</w:t>
      </w:r>
    </w:p>
    <w:p>
      <w:pPr>
        <w:pStyle w:val="Body"/>
        <w:numPr>
          <w:ilvl w:val="0"/>
          <w:numId w:val="5"/>
        </w:numPr>
        <w:rPr>
          <w:color w:val="000000"/>
        </w:rPr>
      </w:pPr>
      <w:r>
        <w:rPr>
          <w:color w:val="000000"/>
        </w:rPr>
        <w:t>Commercializing EnronOnline’s Data</w:t>
      </w:r>
    </w:p>
    <w:p>
      <w:pPr>
        <w:pStyle w:val="Normal"/>
        <w:jc w:val="both"/>
        <w:rPr>
          <w:sz w:val="20"/>
        </w:rPr>
      </w:pPr>
      <w:r>
        <w:rPr>
          <w:sz w:val="20"/>
        </w:rPr>
        <w:t>Member of the commercial team that originated, structured and coordinated a deal to sell real-time EnronOnline propriety data to Reuters.  Also contributed to meetings with other industry data distributors, such as Bloomberg and Bridge.</w:t>
      </w:r>
    </w:p>
    <w:p>
      <w:pPr>
        <w:pStyle w:val="Normal"/>
        <w:numPr>
          <w:ilvl w:val="0"/>
          <w:numId w:val="3"/>
        </w:numPr>
        <w:jc w:val="both"/>
        <w:rPr>
          <w:sz w:val="20"/>
        </w:rPr>
      </w:pPr>
      <w:r>
        <w:rPr>
          <w:sz w:val="20"/>
        </w:rPr>
        <w:t>Participated in all commercial and legal discussions.</w:t>
      </w:r>
    </w:p>
    <w:p>
      <w:pPr>
        <w:pStyle w:val="Normal"/>
        <w:numPr>
          <w:ilvl w:val="0"/>
          <w:numId w:val="3"/>
        </w:numPr>
        <w:jc w:val="both"/>
        <w:rPr>
          <w:sz w:val="20"/>
        </w:rPr>
      </w:pPr>
      <w:r>
        <w:rPr>
          <w:sz w:val="20"/>
        </w:rPr>
        <w:t>Responsible for working with Enron’s commercial units and individuals within EnronOnline to determine the appropriate EnronOnline “products” (e.g., Henry Hub Month Ahead natural gas) to be included in data feeds.</w:t>
      </w:r>
    </w:p>
    <w:p>
      <w:pPr>
        <w:pStyle w:val="Normal"/>
        <w:numPr>
          <w:ilvl w:val="0"/>
          <w:numId w:val="3"/>
        </w:numPr>
        <w:jc w:val="both"/>
        <w:rPr>
          <w:sz w:val="20"/>
        </w:rPr>
      </w:pPr>
      <w:r>
        <w:rPr>
          <w:sz w:val="20"/>
        </w:rPr>
        <w:t>Primary commercial liaison to the technical team assigned to these efforts.</w:t>
      </w:r>
    </w:p>
    <w:p>
      <w:pPr>
        <w:pStyle w:val="Body"/>
        <w:ind w:start="0" w:end="0"/>
        <w:rPr>
          <w:color w:val="000000"/>
          <w:sz w:val="20"/>
        </w:rPr>
      </w:pPr>
      <w:r>
        <w:rPr>
          <w:color w:val="000000"/>
          <w:sz w:val="20"/>
        </w:rPr>
      </w:r>
    </w:p>
    <w:p>
      <w:pPr>
        <w:pStyle w:val="Body"/>
        <w:ind w:start="0" w:end="0"/>
        <w:rPr>
          <w:i/>
          <w:i/>
          <w:iCs/>
          <w:color w:val="000000"/>
        </w:rPr>
      </w:pPr>
      <w:r>
        <w:rPr>
          <w:i/>
          <w:iCs/>
          <w:color w:val="000000"/>
        </w:rPr>
        <w:t>March 19 – Present:</w:t>
      </w:r>
    </w:p>
    <w:p>
      <w:pPr>
        <w:pStyle w:val="Body"/>
        <w:numPr>
          <w:ilvl w:val="0"/>
          <w:numId w:val="5"/>
        </w:numPr>
        <w:rPr>
          <w:b/>
          <w:bCs/>
          <w:color w:val="000000"/>
        </w:rPr>
      </w:pPr>
      <w:r>
        <w:rPr>
          <w:b/>
          <w:bCs/>
          <w:color w:val="000000"/>
        </w:rPr>
        <w:t>California Strategy/Coalition</w:t>
      </w:r>
    </w:p>
    <w:p>
      <w:pPr>
        <w:pStyle w:val="Body"/>
        <w:numPr>
          <w:ilvl w:val="0"/>
          <w:numId w:val="2"/>
        </w:numPr>
        <w:rPr>
          <w:color w:val="000000"/>
        </w:rPr>
      </w:pPr>
      <w:r>
        <w:rPr>
          <w:color w:val="000000"/>
        </w:rPr>
        <w:t>Worked on the development of the “California Solutions” document that has been presented by Ken Lay and others at Enron to California legislative and business leaders.</w:t>
      </w:r>
    </w:p>
    <w:p>
      <w:pPr>
        <w:pStyle w:val="Body"/>
        <w:numPr>
          <w:ilvl w:val="0"/>
          <w:numId w:val="2"/>
        </w:numPr>
        <w:rPr>
          <w:color w:val="000000"/>
        </w:rPr>
      </w:pPr>
      <w:r>
        <w:rPr>
          <w:color w:val="000000"/>
        </w:rPr>
        <w:t>Researched and wrote a one-page information document on the economic impact of the energy crisis that was included in materials Ken Lay sent to business leaders in CA.</w:t>
      </w:r>
    </w:p>
    <w:p>
      <w:pPr>
        <w:pStyle w:val="Body"/>
        <w:rPr>
          <w:color w:val="000000"/>
        </w:rPr>
      </w:pPr>
      <w:r>
        <w:rPr>
          <w:color w:val="000000"/>
        </w:rPr>
      </w:r>
    </w:p>
    <w:p>
      <w:pPr>
        <w:pStyle w:val="Body"/>
        <w:numPr>
          <w:ilvl w:val="0"/>
          <w:numId w:val="5"/>
        </w:numPr>
        <w:rPr>
          <w:b/>
          <w:bCs/>
          <w:color w:val="000000"/>
        </w:rPr>
      </w:pPr>
      <w:r>
        <w:rPr>
          <w:b/>
          <w:bCs/>
          <w:color w:val="000000"/>
        </w:rPr>
        <w:t xml:space="preserve">Price Risk Management </w:t>
      </w:r>
    </w:p>
    <w:p>
      <w:pPr>
        <w:pStyle w:val="Body"/>
        <w:numPr>
          <w:ilvl w:val="0"/>
          <w:numId w:val="2"/>
        </w:numPr>
        <w:rPr>
          <w:b/>
          <w:bCs/>
          <w:color w:val="000000"/>
        </w:rPr>
      </w:pPr>
      <w:r>
        <w:rPr>
          <w:color w:val="000000"/>
        </w:rPr>
        <w:t xml:space="preserve">Helped pull together information for and finalize a report delivered to Dave Delainey detailing opportunities state-by-state for EES through arrangements such as standard offer/default service and municipal aggregation.  </w:t>
      </w:r>
    </w:p>
    <w:p>
      <w:pPr>
        <w:pStyle w:val="Body"/>
        <w:numPr>
          <w:ilvl w:val="0"/>
          <w:numId w:val="2"/>
        </w:numPr>
        <w:rPr>
          <w:b/>
          <w:bCs/>
          <w:color w:val="000000"/>
        </w:rPr>
      </w:pPr>
      <w:r>
        <w:rPr>
          <w:color w:val="000000"/>
        </w:rPr>
        <w:t>Conducted and coordinated research to supplement information and analysis received from the field to inform this report.</w:t>
      </w:r>
    </w:p>
    <w:p>
      <w:pPr>
        <w:pStyle w:val="Body"/>
        <w:numPr>
          <w:ilvl w:val="0"/>
          <w:numId w:val="2"/>
        </w:numPr>
        <w:rPr>
          <w:b/>
          <w:bCs/>
          <w:color w:val="000000"/>
        </w:rPr>
      </w:pPr>
      <w:r>
        <w:rPr>
          <w:color w:val="000000"/>
        </w:rPr>
        <w:t xml:space="preserve">Assisted in the development of a business plan outlining our objectives and activities under this initiative that was submitted to the National Campaign leadership group. </w:t>
      </w:r>
    </w:p>
    <w:p>
      <w:pPr>
        <w:pStyle w:val="Body"/>
        <w:ind w:start="144" w:end="0"/>
        <w:rPr>
          <w:b/>
          <w:bCs/>
          <w:color w:val="000000"/>
        </w:rPr>
      </w:pPr>
      <w:r>
        <w:rPr>
          <w:b/>
          <w:bCs/>
          <w:color w:val="000000"/>
        </w:rPr>
      </w:r>
    </w:p>
    <w:p>
      <w:pPr>
        <w:pStyle w:val="Body"/>
        <w:rPr>
          <w:color w:val="000000"/>
        </w:rPr>
      </w:pPr>
      <w:r>
        <w:rPr>
          <w:color w:val="000000"/>
        </w:rPr>
      </w:r>
    </w:p>
    <w:p>
      <w:pPr>
        <w:pStyle w:val="Body"/>
        <w:ind w:start="0" w:end="0"/>
        <w:rPr>
          <w:b/>
          <w:bCs/>
          <w:color w:val="000000"/>
        </w:rPr>
      </w:pPr>
      <w:r>
        <w:rPr>
          <w:b/>
          <w:bCs/>
          <w:color w:val="000000"/>
        </w:rPr>
      </w:r>
    </w:p>
    <w:p>
      <w:pPr>
        <w:pStyle w:val="Body"/>
        <w:ind w:start="0" w:end="0"/>
        <w:rPr>
          <w:b/>
          <w:bCs/>
          <w:color w:val="000000"/>
        </w:rPr>
      </w:pPr>
      <w:r>
        <w:rPr>
          <w:b/>
          <w:bCs/>
          <w:color w:val="000000"/>
        </w:rPr>
      </w:r>
    </w:p>
    <w:p>
      <w:pPr>
        <w:pStyle w:val="Body"/>
        <w:ind w:start="0" w:end="0"/>
        <w:rPr>
          <w:b/>
          <w:bCs/>
          <w:color w:val="000000"/>
        </w:rPr>
      </w:pPr>
      <w:r>
        <w:rPr>
          <w:b/>
          <w:bCs/>
          <w:color w:val="000000"/>
        </w:rPr>
      </w:r>
    </w:p>
    <w:p>
      <w:pPr>
        <w:pStyle w:val="Body"/>
        <w:ind w:start="0" w:end="0"/>
        <w:rPr>
          <w:b/>
          <w:bCs/>
          <w:color w:val="000000"/>
          <w:u w:val="single"/>
        </w:rPr>
      </w:pPr>
      <w:r>
        <w:rPr>
          <w:b/>
          <w:bCs/>
          <w:color w:val="000000"/>
          <w:u w:val="single"/>
        </w:rPr>
      </w:r>
    </w:p>
    <w:p>
      <w:pPr>
        <w:pStyle w:val="Body"/>
        <w:ind w:start="0" w:end="0"/>
        <w:rPr>
          <w:b/>
          <w:bCs/>
          <w:color w:val="000000"/>
          <w:u w:val="single"/>
        </w:rPr>
      </w:pPr>
      <w:r>
        <w:rPr>
          <w:b/>
          <w:bCs/>
          <w:color w:val="000000"/>
          <w:u w:val="single"/>
        </w:rPr>
      </w:r>
    </w:p>
    <w:p>
      <w:pPr>
        <w:pStyle w:val="Body"/>
        <w:ind w:start="0" w:end="0"/>
        <w:rPr>
          <w:b/>
          <w:bCs/>
          <w:color w:val="000000"/>
          <w:u w:val="single"/>
        </w:rPr>
      </w:pPr>
      <w:r>
        <w:rPr>
          <w:b/>
          <w:bCs/>
          <w:color w:val="000000"/>
          <w:u w:val="single"/>
        </w:rPr>
      </w:r>
    </w:p>
    <w:p>
      <w:pPr>
        <w:pStyle w:val="Body"/>
        <w:ind w:start="0" w:end="0"/>
        <w:rPr>
          <w:b/>
          <w:bCs/>
          <w:color w:val="000000"/>
          <w:u w:val="single"/>
        </w:rPr>
      </w:pPr>
      <w:r>
        <w:rPr>
          <w:b/>
          <w:bCs/>
          <w:color w:val="000000"/>
          <w:u w:val="single"/>
        </w:rPr>
        <w:t>Current Projects/Activities</w:t>
      </w:r>
    </w:p>
    <w:p>
      <w:pPr>
        <w:pStyle w:val="Body"/>
        <w:rPr>
          <w:b/>
          <w:bCs/>
          <w:color w:val="000000"/>
          <w:u w:val="single"/>
        </w:rPr>
      </w:pPr>
      <w:r>
        <w:rPr>
          <w:b/>
          <w:bCs/>
          <w:color w:val="000000"/>
          <w:u w:val="single"/>
        </w:rPr>
      </w:r>
    </w:p>
    <w:p>
      <w:pPr>
        <w:pStyle w:val="Body"/>
        <w:numPr>
          <w:ilvl w:val="0"/>
          <w:numId w:val="5"/>
        </w:numPr>
        <w:rPr>
          <w:b/>
          <w:bCs/>
          <w:color w:val="000000"/>
        </w:rPr>
      </w:pPr>
      <w:r>
        <w:rPr>
          <w:b/>
          <w:bCs/>
          <w:color w:val="000000"/>
        </w:rPr>
        <w:t>California Strategy/Coalition</w:t>
      </w:r>
    </w:p>
    <w:p>
      <w:pPr>
        <w:pStyle w:val="Body"/>
        <w:numPr>
          <w:ilvl w:val="0"/>
          <w:numId w:val="2"/>
        </w:numPr>
        <w:rPr>
          <w:color w:val="000000"/>
        </w:rPr>
      </w:pPr>
      <w:r>
        <w:rPr>
          <w:color w:val="000000"/>
        </w:rPr>
        <w:t>Collecting materials for a possible Enron presentation to FERC re: natural gas prices in CA</w:t>
      </w:r>
    </w:p>
    <w:p>
      <w:pPr>
        <w:pStyle w:val="Body"/>
        <w:numPr>
          <w:ilvl w:val="0"/>
          <w:numId w:val="2"/>
        </w:numPr>
        <w:rPr>
          <w:color w:val="000000"/>
        </w:rPr>
      </w:pPr>
      <w:r>
        <w:rPr>
          <w:color w:val="000000"/>
        </w:rPr>
        <w:t xml:space="preserve">Developing talking points on natural gas </w:t>
      </w:r>
    </w:p>
    <w:p>
      <w:pPr>
        <w:pStyle w:val="Body"/>
        <w:ind w:start="504" w:end="0"/>
        <w:rPr>
          <w:color w:val="000000"/>
        </w:rPr>
      </w:pPr>
      <w:r>
        <w:rPr>
          <w:color w:val="000000"/>
        </w:rPr>
      </w:r>
    </w:p>
    <w:p>
      <w:pPr>
        <w:pStyle w:val="Body"/>
        <w:numPr>
          <w:ilvl w:val="0"/>
          <w:numId w:val="5"/>
        </w:numPr>
        <w:rPr>
          <w:b/>
          <w:bCs/>
          <w:color w:val="000000"/>
        </w:rPr>
      </w:pPr>
      <w:r>
        <w:rPr>
          <w:b/>
          <w:bCs/>
          <w:color w:val="000000"/>
        </w:rPr>
        <w:t xml:space="preserve">Price Risk Management </w:t>
      </w:r>
    </w:p>
    <w:p>
      <w:pPr>
        <w:pStyle w:val="Body"/>
        <w:numPr>
          <w:ilvl w:val="0"/>
          <w:numId w:val="2"/>
        </w:numPr>
        <w:rPr>
          <w:color w:val="000000"/>
        </w:rPr>
      </w:pPr>
      <w:r>
        <w:rPr>
          <w:color w:val="000000"/>
        </w:rPr>
        <w:t xml:space="preserve">Beginning to implement the business plan, including determining how best to approach commissions with Enron’s message. </w:t>
      </w:r>
    </w:p>
    <w:p>
      <w:pPr>
        <w:pStyle w:val="Body"/>
        <w:ind w:start="1080" w:end="0"/>
        <w:rPr>
          <w:color w:val="000000"/>
        </w:rPr>
      </w:pPr>
      <w:r>
        <w:rPr>
          <w:color w:val="000000"/>
        </w:rPr>
      </w:r>
    </w:p>
    <w:p>
      <w:pPr>
        <w:pStyle w:val="Body"/>
        <w:numPr>
          <w:ilvl w:val="0"/>
          <w:numId w:val="5"/>
        </w:numPr>
        <w:rPr>
          <w:b/>
          <w:bCs/>
          <w:color w:val="000000"/>
        </w:rPr>
      </w:pPr>
      <w:r>
        <w:rPr>
          <w:b/>
          <w:bCs/>
          <w:color w:val="000000"/>
        </w:rPr>
        <w:t>Other</w:t>
      </w:r>
    </w:p>
    <w:p>
      <w:pPr>
        <w:pStyle w:val="Normal"/>
        <w:numPr>
          <w:ilvl w:val="0"/>
          <w:numId w:val="3"/>
        </w:numPr>
        <w:jc w:val="both"/>
        <w:rPr>
          <w:sz w:val="20"/>
        </w:rPr>
      </w:pPr>
      <w:r>
        <w:rPr>
          <w:sz w:val="20"/>
        </w:rPr>
        <w:t>Conducting research and coordinating the work of rate and regulatory analysts, when requested.</w:t>
      </w:r>
    </w:p>
    <w:p>
      <w:pPr>
        <w:pStyle w:val="Normal"/>
        <w:ind w:start="540" w:end="0"/>
        <w:jc w:val="both"/>
        <w:rPr>
          <w:sz w:val="20"/>
        </w:rPr>
      </w:pPr>
      <w:r>
        <w:rPr>
          <w:sz w:val="20"/>
        </w:rPr>
        <w:t>(Current research projects include topics such as state-by-state analysis of system benefits charges and demand buy-down programs).</w:t>
      </w:r>
    </w:p>
    <w:p>
      <w:pPr>
        <w:pStyle w:val="Body"/>
        <w:ind w:start="0" w:end="0"/>
        <w:rPr>
          <w:b/>
          <w:bCs/>
          <w:color w:val="000000"/>
          <w:sz w:val="20"/>
        </w:rPr>
      </w:pPr>
      <w:r>
        <w:rPr>
          <w:b/>
          <w:bCs/>
          <w:color w:val="000000"/>
          <w:sz w:val="20"/>
        </w:rPr>
      </w:r>
    </w:p>
    <w:p>
      <w:pPr>
        <w:pStyle w:val="Body"/>
        <w:rPr>
          <w:b/>
          <w:bCs/>
          <w:color w:val="000000"/>
          <w:u w:val="single"/>
        </w:rPr>
      </w:pPr>
      <w:r>
        <w:rPr>
          <w:b/>
          <w:bCs/>
          <w:color w:val="000000"/>
          <w:u w:val="single"/>
        </w:rPr>
        <w:t>Goals for the Remainder of the Year</w:t>
      </w:r>
    </w:p>
    <w:p>
      <w:pPr>
        <w:pStyle w:val="Body"/>
        <w:rPr>
          <w:b/>
          <w:bCs/>
          <w:color w:val="000000"/>
          <w:u w:val="single"/>
        </w:rPr>
      </w:pPr>
      <w:r>
        <w:rPr>
          <w:b/>
          <w:bCs/>
          <w:color w:val="000000"/>
          <w:u w:val="single"/>
        </w:rPr>
      </w:r>
    </w:p>
    <w:p>
      <w:pPr>
        <w:pStyle w:val="Body"/>
        <w:numPr>
          <w:ilvl w:val="0"/>
          <w:numId w:val="4"/>
        </w:numPr>
        <w:rPr>
          <w:color w:val="000000"/>
        </w:rPr>
      </w:pPr>
      <w:r>
        <w:rPr>
          <w:color w:val="000000"/>
        </w:rPr>
        <w:t>Develop expertise in a number of areas relevant to teams to which I have been assigned, while becoming the overall group’s “expert” in at least one area (i.e., serve as the primary resource for the group in an area such as natural gas, DG, etc.).</w:t>
      </w:r>
    </w:p>
    <w:p>
      <w:pPr>
        <w:pStyle w:val="Body"/>
        <w:rPr>
          <w:color w:val="000000"/>
        </w:rPr>
      </w:pPr>
      <w:r>
        <w:rPr>
          <w:color w:val="000000"/>
        </w:rPr>
      </w:r>
    </w:p>
    <w:p>
      <w:pPr>
        <w:pStyle w:val="Body"/>
        <w:numPr>
          <w:ilvl w:val="0"/>
          <w:numId w:val="4"/>
        </w:numPr>
        <w:rPr>
          <w:color w:val="000000"/>
        </w:rPr>
      </w:pPr>
      <w:r>
        <w:rPr>
          <w:color w:val="000000"/>
        </w:rPr>
        <w:t>Take ownership of an on-going project for which I will be responsible to see through to completion.</w:t>
      </w:r>
    </w:p>
    <w:p>
      <w:pPr>
        <w:pStyle w:val="Body"/>
        <w:ind w:start="0" w:end="0"/>
        <w:rPr>
          <w:color w:val="000000"/>
        </w:rPr>
      </w:pPr>
      <w:r>
        <w:rPr>
          <w:color w:val="000000"/>
        </w:rPr>
      </w:r>
    </w:p>
    <w:p>
      <w:pPr>
        <w:pStyle w:val="Body"/>
        <w:numPr>
          <w:ilvl w:val="0"/>
          <w:numId w:val="4"/>
        </w:numPr>
        <w:rPr>
          <w:color w:val="000000"/>
        </w:rPr>
      </w:pPr>
      <w:r>
        <w:rPr>
          <w:color w:val="000000"/>
        </w:rPr>
        <w:t>Strengthen my quantitative analytical skills.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864"/>
        </w:tabs>
        <w:ind w:start="864"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576"/>
        </w:tabs>
        <w:ind w:start="576" w:hanging="432"/>
      </w:pPr>
      <w:rPr/>
    </w:lvl>
  </w:abstractNum>
  <w:abstractNum w:abstractNumId="5">
    <w:lvl w:ilvl="0">
      <w:start w:val="1"/>
      <w:numFmt w:val="bullet"/>
      <w:lvlText w:val=""/>
      <w:lvlJc w:val="start"/>
      <w:pPr>
        <w:tabs>
          <w:tab w:val="num" w:pos="504"/>
        </w:tabs>
        <w:ind w:start="504" w:hanging="360"/>
      </w:pPr>
      <w:rPr>
        <w:rFonts w:ascii="Wingdings" w:hAnsi="Wingdings" w:cs="Wingdings" w:hint="default"/>
        <w:i w:val="false"/>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b/>
      <w:i w:val="false"/>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Wingdings" w:hAnsi="Wingdings" w:cs="Wingdings"/>
      <w:b/>
      <w:i w:val="false"/>
    </w:rPr>
  </w:style>
  <w:style w:type="character" w:styleId="WW8Num9z1">
    <w:name w:val="WW8Num9z1"/>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804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2001-05-07T14:05:00Z</dcterms:created>
  <dc:creator>jthome</dc:creator>
  <dc:description/>
  <dc:language>en-CA</dc:language>
  <cp:lastModifiedBy>jthome</cp:lastModifiedBy>
  <cp:lastPrinted>2001-05-10T17:54:00Z</cp:lastPrinted>
  <dcterms:modified xsi:type="dcterms:W3CDTF">2001-05-11T10:18:00Z</dcterms:modified>
  <cp:revision>8</cp:revision>
  <dc:subject/>
  <dc:title>Better, Faster, Simpler Memo </dc:title>
</cp:coreProperties>
</file>