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Heading2"/>
              <w:tabs>
                <w:tab w:val="left" w:pos="540" w:leader="none"/>
              </w:tabs>
              <w:overflowPunct w:val="false"/>
              <w:autoSpaceDE w:val="false"/>
              <w:snapToGrid w:val="false"/>
              <w:ind w:hanging="0" w:start="0"/>
              <w:textAlignment w:val="baseline"/>
              <w:rPr>
                <w:rFonts w:ascii="Arial" w:hAnsi="Arial" w:cs="Arial"/>
              </w:rPr>
            </w:pPr>
            <w:r>
              <w:rPr>
                <w:rFonts w:cs="Arial" w:ascii="Arial" w:hAnsi="Arial"/>
              </w:rPr>
            </w:r>
          </w:p>
        </w:tc>
      </w:tr>
      <w:tr>
        <w:trPr>
          <w:trHeight w:val="216" w:hRule="exact"/>
        </w:trPr>
        <w:tc>
          <w:tcPr>
            <w:tcW w:w="708" w:type="dxa"/>
            <w:tcBorders/>
          </w:tcPr>
          <w:p>
            <w:pPr>
              <w:pStyle w:val="Normal"/>
              <w:snapToGrid w:val="false"/>
              <w:ind w:start="-180" w:end="0"/>
              <w:jc w:val="end"/>
              <w:rPr>
                <w:rFonts w:ascii="Arial" w:hAnsi="Arial" w:cs="Arial"/>
                <w:sz w:val="18"/>
              </w:rPr>
            </w:pPr>
            <w:r>
              <w:rPr>
                <w:rFonts w:cs="Arial"/>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Steve Kean, Stan Horton, John Sherriff, Billy Lemmons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Analyst/Associate Program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DRAFT Mid-Year 2001 PRC Guidelines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2, 2001</w:t>
            </w:r>
          </w:p>
        </w:tc>
      </w:tr>
    </w:tbl>
    <w:p>
      <w:pPr>
        <w:pStyle w:val="Heading"/>
        <w:rPr>
          <w:sz w:val="20"/>
        </w:rPr>
      </w:pPr>
      <w:r>
        <w:rPr>
          <w:sz w:val="20"/>
        </w:rPr>
      </w:r>
      <w:bookmarkStart w:id="1" w:name="StartOfMemo"/>
      <w:bookmarkStart w:id="2" w:name="StartOfMemo"/>
      <w:bookmarkEnd w:id="2"/>
    </w:p>
    <w:p>
      <w:pPr>
        <w:pStyle w:val="Normal"/>
        <w:rPr/>
      </w:pPr>
      <w:r>
        <w:rPr>
          <w:sz w:val="20"/>
        </w:rPr>
        <w:t xml:space="preserve">The Policy Committee has adopted the following new guidelines for the Analyst and Associate PRC process.  We have widened the scope of </w:t>
      </w:r>
      <w:r>
        <w:rPr>
          <w:b/>
          <w:bCs/>
          <w:sz w:val="20"/>
        </w:rPr>
        <w:t>Analyst/Associate PRC Committee</w:t>
      </w:r>
      <w:r>
        <w:rPr>
          <w:sz w:val="20"/>
        </w:rPr>
        <w:t xml:space="preserve"> </w:t>
      </w:r>
      <w:r>
        <w:rPr>
          <w:b/>
          <w:sz w:val="20"/>
        </w:rPr>
        <w:t>(AAPRC)</w:t>
      </w:r>
      <w:r>
        <w:rPr>
          <w:sz w:val="20"/>
        </w:rPr>
        <w:t xml:space="preserve"> to improve representation quality, and to reflect the diversity of our employee population.  As a result, some substitutions and additions have been made to the initial roster of AAPRC members.</w:t>
      </w:r>
    </w:p>
    <w:p>
      <w:pPr>
        <w:pStyle w:val="Normal"/>
        <w:rPr>
          <w:sz w:val="20"/>
        </w:rPr>
      </w:pPr>
      <w:r>
        <w:rPr>
          <w:sz w:val="20"/>
        </w:rPr>
      </w:r>
    </w:p>
    <w:p>
      <w:pPr>
        <w:pStyle w:val="Normal"/>
        <w:rPr/>
      </w:pPr>
      <w:r>
        <w:rPr>
          <w:sz w:val="20"/>
        </w:rPr>
        <w:t xml:space="preserve">Each Business Unit will be responsible for the final ranking of their Analysts and Associates with supervisory-based representation.  Each Business Unit will conduct the normal pre-ranking meetings as in the past, and conduct a final ranking meeting.  The Analysts and Associates will be represented in the final meeting by an </w:t>
      </w:r>
      <w:r>
        <w:rPr>
          <w:bCs/>
          <w:sz w:val="20"/>
        </w:rPr>
        <w:t>AAPRC</w:t>
      </w:r>
      <w:r>
        <w:rPr>
          <w:b/>
          <w:sz w:val="20"/>
        </w:rPr>
        <w:t xml:space="preserve"> </w:t>
      </w:r>
      <w:r>
        <w:rPr>
          <w:sz w:val="20"/>
        </w:rPr>
        <w:t xml:space="preserve">member from their Business Unit who is familiar with their accomplishments (See Attachments 1 and 2).  Target distributions will be applied at the Business Unit level and will be consistent with distributions across Enron. </w:t>
      </w:r>
    </w:p>
    <w:p>
      <w:pPr>
        <w:pStyle w:val="Normal"/>
        <w:rPr>
          <w:sz w:val="20"/>
        </w:rPr>
      </w:pPr>
      <w:r>
        <w:rPr>
          <w:sz w:val="20"/>
        </w:rPr>
      </w:r>
    </w:p>
    <w:p>
      <w:pPr>
        <w:pStyle w:val="Normal"/>
        <w:rPr/>
      </w:pPr>
      <w:r>
        <w:rPr>
          <w:sz w:val="20"/>
        </w:rPr>
        <w:t xml:space="preserve">To ensure consistency and cross-calibration, each Business Unit final ranking meeting will be attended by members of the </w:t>
      </w:r>
      <w:r>
        <w:rPr>
          <w:b/>
          <w:sz w:val="20"/>
        </w:rPr>
        <w:t>AA Committee</w:t>
      </w:r>
      <w:r>
        <w:rPr>
          <w:sz w:val="20"/>
        </w:rPr>
        <w:t xml:space="preserve"> </w:t>
      </w:r>
      <w:r>
        <w:rPr>
          <w:b/>
          <w:sz w:val="20"/>
        </w:rPr>
        <w:t xml:space="preserve">(AAC) </w:t>
      </w:r>
      <w:r>
        <w:rPr>
          <w:sz w:val="20"/>
        </w:rPr>
        <w:t xml:space="preserve">who do not work in that Business Unit. In addition, Analyst and Associate Program management will attend all PRC final ranking sessions.  The respective Business Units are </w:t>
      </w:r>
      <w:r>
        <w:rPr>
          <w:b/>
          <w:sz w:val="20"/>
        </w:rPr>
        <w:t>EWS</w:t>
      </w:r>
      <w:r>
        <w:rPr>
          <w:sz w:val="20"/>
        </w:rPr>
        <w:t xml:space="preserve"> (including those groups at Corp that are supported by EWS HR and ETS), </w:t>
      </w:r>
      <w:r>
        <w:rPr>
          <w:b/>
          <w:sz w:val="20"/>
        </w:rPr>
        <w:t>EBS</w:t>
      </w:r>
      <w:r>
        <w:rPr>
          <w:sz w:val="20"/>
        </w:rPr>
        <w:t xml:space="preserve">, </w:t>
      </w:r>
      <w:r>
        <w:rPr>
          <w:b/>
          <w:sz w:val="20"/>
        </w:rPr>
        <w:t>EES</w:t>
      </w:r>
      <w:r>
        <w:rPr>
          <w:sz w:val="20"/>
        </w:rPr>
        <w:t xml:space="preserve"> and </w:t>
      </w:r>
      <w:r>
        <w:rPr>
          <w:b/>
          <w:sz w:val="20"/>
        </w:rPr>
        <w:t xml:space="preserve">Enron Europe </w:t>
      </w:r>
      <w:r>
        <w:rPr>
          <w:bCs/>
          <w:sz w:val="20"/>
        </w:rPr>
        <w:t>(all business units)</w:t>
      </w:r>
      <w:r>
        <w:rPr>
          <w:sz w:val="20"/>
        </w:rPr>
        <w:t xml:space="preserve">. </w:t>
      </w:r>
    </w:p>
    <w:p>
      <w:pPr>
        <w:pStyle w:val="Normal"/>
        <w:rPr>
          <w:sz w:val="20"/>
        </w:rPr>
      </w:pPr>
      <w:r>
        <w:rPr>
          <w:sz w:val="20"/>
        </w:rPr>
      </w:r>
    </w:p>
    <w:p>
      <w:pPr>
        <w:pStyle w:val="Subject"/>
        <w:tabs>
          <w:tab w:val="left" w:pos="540" w:leader="none"/>
        </w:tabs>
        <w:rPr/>
      </w:pPr>
      <w:r>
        <w:rPr/>
        <w:t xml:space="preserve">In addition to the above, Analyst and Associate peer groups have been consolidated from five groups to three.  The peer groups now will consist of the following:  Analysts with less than one year of service, (hired prior to March 1, 2001); Analysts with one year or greater of service and all Associates (hired prior to March 1, 2001) as one group.  Analysts and Associates with less than three months tenure will receive feedback only, and those with greater than three months service will receive both a PRC ranking and feedback.  </w:t>
      </w:r>
    </w:p>
    <w:p>
      <w:pPr>
        <w:pStyle w:val="Normal"/>
        <w:rPr>
          <w:sz w:val="20"/>
        </w:rPr>
      </w:pPr>
      <w:r>
        <w:rPr>
          <w:sz w:val="20"/>
        </w:rPr>
      </w:r>
    </w:p>
    <w:p>
      <w:pPr>
        <w:pStyle w:val="Normal"/>
        <w:rPr>
          <w:sz w:val="20"/>
        </w:rPr>
      </w:pPr>
      <w:r>
        <w:rPr>
          <w:sz w:val="20"/>
        </w:rPr>
        <w:t>Upon completion of all Business Unit final rankings, the Analyst and Associate PRC Committee will reconvene as a group to review the business unit distributions, and to review all Analysts and Associates who were ranked at the top of the distribution.  This will allow the Committee members to become more knowledgeable about the top-performing group, and to better understand why these Analysts and Associates perform at this level.</w:t>
      </w:r>
    </w:p>
    <w:p>
      <w:pPr>
        <w:pStyle w:val="Normal"/>
        <w:rPr>
          <w:sz w:val="20"/>
        </w:rPr>
      </w:pPr>
      <w:r>
        <w:rPr>
          <w:sz w:val="20"/>
        </w:rPr>
      </w:r>
    </w:p>
    <w:p>
      <w:pPr>
        <w:pStyle w:val="Normal"/>
        <w:rPr>
          <w:sz w:val="20"/>
        </w:rPr>
      </w:pPr>
      <w:r>
        <w:rPr>
          <w:sz w:val="20"/>
        </w:rPr>
        <w:t xml:space="preserve">The Analyst and Associate PRC Committees in the Western Hemisphere will be jointly chaired by Steve Kean and Stan Horton.  The Committee in Europe will be chaired by John Sherriff. </w:t>
      </w:r>
    </w:p>
    <w:p>
      <w:pPr>
        <w:pStyle w:val="Heading"/>
        <w:rPr>
          <w:b w:val="false"/>
          <w:sz w:val="20"/>
        </w:rPr>
      </w:pPr>
      <w:r>
        <w:rPr>
          <w:b w:val="false"/>
          <w:sz w:val="20"/>
        </w:rPr>
      </w:r>
    </w:p>
    <w:p>
      <w:pPr>
        <w:pStyle w:val="Normal"/>
        <w:rPr>
          <w:sz w:val="20"/>
        </w:rPr>
      </w:pPr>
      <w:r>
        <w:rPr>
          <w:sz w:val="20"/>
        </w:rPr>
        <w:t xml:space="preserve">Promotion criteria for the Program have been modified to reflect Enron’s new rating system of 1-5 (with 1 being the highest rating) and have been included as Attachment 3, which also addresses Program tenure.  </w:t>
      </w:r>
    </w:p>
    <w:p>
      <w:pPr>
        <w:pStyle w:val="Normal"/>
        <w:rPr>
          <w:sz w:val="20"/>
        </w:rPr>
      </w:pPr>
      <w:r>
        <w:rPr>
          <w:sz w:val="20"/>
        </w:rPr>
      </w:r>
    </w:p>
    <w:p>
      <w:pPr>
        <w:pStyle w:val="Normal"/>
        <w:rPr>
          <w:sz w:val="20"/>
        </w:rPr>
      </w:pPr>
      <w:r>
        <w:rPr>
          <w:sz w:val="20"/>
        </w:rPr>
        <w:t>If you have questions, please contact Ted Bland x35275 or Terry Bosien x35230.</w:t>
      </w:r>
    </w:p>
    <w:p>
      <w:pPr>
        <w:pStyle w:val="Heading"/>
        <w:rPr>
          <w:b w:val="false"/>
          <w:sz w:val="20"/>
          <w:u w:val="single"/>
        </w:rPr>
      </w:pPr>
      <w:r>
        <w:rPr>
          <w:b w:val="false"/>
          <w:sz w:val="20"/>
          <w:u w:val="single"/>
        </w:rPr>
      </w:r>
    </w:p>
    <w:p>
      <w:pPr>
        <w:pStyle w:val="Heading"/>
        <w:rPr/>
      </w:pPr>
      <w:r>
        <w:rPr>
          <w:b w:val="false"/>
          <w:sz w:val="20"/>
          <w:u w:val="single"/>
        </w:rPr>
        <w:t>Distribution</w:t>
      </w:r>
      <w:r>
        <w:rPr>
          <w:b w:val="false"/>
          <w:sz w:val="20"/>
        </w:rPr>
        <w:t>:</w:t>
      </w:r>
    </w:p>
    <w:p>
      <w:pPr>
        <w:pStyle w:val="Heading"/>
        <w:rPr>
          <w:b w:val="false"/>
          <w:sz w:val="20"/>
        </w:rPr>
      </w:pPr>
      <w:r>
        <w:rPr>
          <w:b w:val="false"/>
          <w:sz w:val="20"/>
        </w:rPr>
        <w:t>Associates</w:t>
      </w:r>
    </w:p>
    <w:p>
      <w:pPr>
        <w:pStyle w:val="Heading"/>
        <w:rPr>
          <w:b w:val="false"/>
          <w:sz w:val="20"/>
        </w:rPr>
      </w:pPr>
      <w:r>
        <w:rPr>
          <w:b w:val="false"/>
          <w:sz w:val="20"/>
        </w:rPr>
        <w:t>Analysts</w:t>
      </w:r>
    </w:p>
    <w:p>
      <w:pPr>
        <w:pStyle w:val="Heading"/>
        <w:rPr>
          <w:b w:val="false"/>
          <w:sz w:val="20"/>
        </w:rPr>
      </w:pPr>
      <w:r>
        <w:rPr>
          <w:b w:val="false"/>
          <w:sz w:val="20"/>
        </w:rPr>
        <w:t>All HR Heads (EWS, EBS, EES, ETS)</w:t>
      </w:r>
    </w:p>
    <w:p>
      <w:pPr>
        <w:pStyle w:val="Heading"/>
        <w:rPr>
          <w:b w:val="false"/>
          <w:sz w:val="20"/>
        </w:rPr>
      </w:pPr>
      <w:r>
        <w:rPr>
          <w:b w:val="false"/>
          <w:sz w:val="20"/>
        </w:rPr>
        <w:t>Cindy Olson</w:t>
      </w:r>
    </w:p>
    <w:p>
      <w:pPr>
        <w:pStyle w:val="Heading"/>
        <w:rPr>
          <w:b w:val="false"/>
          <w:sz w:val="20"/>
        </w:rPr>
      </w:pPr>
      <w:r>
        <w:rPr>
          <w:b w:val="false"/>
          <w:sz w:val="20"/>
        </w:rPr>
        <w:t>AAPRC</w:t>
      </w:r>
    </w:p>
    <w:p>
      <w:pPr>
        <w:pStyle w:val="Heading"/>
        <w:rPr>
          <w:b w:val="false"/>
          <w:sz w:val="20"/>
        </w:rPr>
      </w:pPr>
      <w:r>
        <w:rPr>
          <w:b w:val="false"/>
          <w:sz w:val="20"/>
        </w:rPr>
        <w:t>AAC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jc w:val="center"/>
      <w:textAlignment w:val="auto"/>
      <w:outlineLvl w:val="0"/>
    </w:pPr>
    <w:rPr>
      <w:rFonts w:ascii="Times New Roman" w:hAnsi="Times New Roman" w:cs="Times New Roman"/>
      <w:b/>
      <w:bCs/>
      <w:szCs w:val="24"/>
    </w:rPr>
  </w:style>
  <w:style w:type="paragraph" w:styleId="Heading2">
    <w:name w:val="heading 2"/>
    <w:basedOn w:val="Normal"/>
    <w:next w:val="Normal"/>
    <w:qFormat/>
    <w:pPr>
      <w:keepNext w:val="true"/>
      <w:numPr>
        <w:ilvl w:val="1"/>
        <w:numId w:val="1"/>
      </w:numPr>
      <w:tabs>
        <w:tab w:val="clear" w:pos="540"/>
      </w:tabs>
      <w:overflowPunct w:val="true"/>
      <w:autoSpaceDE w:val="true"/>
      <w:textAlignment w:val="auto"/>
      <w:outlineLvl w:val="1"/>
    </w:pPr>
    <w:rPr>
      <w:rFonts w:ascii="Times New Roman" w:hAnsi="Times New Roman" w:cs="Times New Roman"/>
      <w:b/>
      <w:bCs/>
      <w:szCs w:val="24"/>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2001-05-03T18:05:00Z</dcterms:created>
  <dc:creator>Ted Bland</dc:creator>
  <dc:description/>
  <dc:language>en-CA</dc:language>
  <cp:lastModifiedBy>wlemmon</cp:lastModifiedBy>
  <cp:lastPrinted>2001-05-03T15:33:00Z</cp:lastPrinted>
  <dcterms:modified xsi:type="dcterms:W3CDTF">2001-05-04T19:57:00Z</dcterms:modified>
  <cp:revision>6</cp:revision>
  <dc:subject/>
  <dc:title>Better, Faster, Simpler Memo </dc:title>
</cp:coreProperties>
</file>