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PRC Committee Meeting</w:t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1:30- 3:00</w:t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April 3, 2001</w:t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Arial" w:ascii="Arial" w:hAnsi="Arial"/>
          <w:b/>
          <w:sz w:val="22"/>
        </w:rPr>
        <w:t>Enron Building 50</w:t>
      </w:r>
      <w:r>
        <w:rPr>
          <w:rFonts w:cs="Arial" w:ascii="Arial" w:hAnsi="Arial"/>
          <w:b/>
          <w:sz w:val="22"/>
          <w:vertAlign w:val="superscript"/>
        </w:rPr>
        <w:t>th</w:t>
      </w:r>
      <w:r>
        <w:rPr>
          <w:rFonts w:cs="Arial" w:ascii="Arial" w:hAnsi="Arial"/>
          <w:b/>
          <w:sz w:val="22"/>
        </w:rPr>
        <w:t xml:space="preserve"> Floor Boardroom</w:t>
      </w:r>
    </w:p>
    <w:p>
      <w:pPr>
        <w:pStyle w:val="Subtitle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Subtitl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>Agenda:</w:t>
      </w:r>
    </w:p>
    <w:p>
      <w:pPr>
        <w:pStyle w:val="Subtitle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</w:r>
    </w:p>
    <w:p>
      <w:pPr>
        <w:pStyle w:val="Subtitle"/>
        <w:numPr>
          <w:ilvl w:val="0"/>
          <w:numId w:val="2"/>
        </w:numPr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  <w:t>Welcome by Dave Delainey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Introduction of nominees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numPr>
          <w:ilvl w:val="0"/>
          <w:numId w:val="2"/>
        </w:numPr>
        <w:rPr>
          <w:b/>
          <w:bCs/>
          <w:i/>
          <w:i/>
        </w:rPr>
      </w:pPr>
      <w:r>
        <w:rPr>
          <w:b/>
          <w:bCs/>
          <w:i/>
        </w:rPr>
        <w:t>Committee Roles and Responsibilities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Set the standards and guidance on PRC across Enron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Communicate the Preferred Distribution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Act as ambassadors for the PRC within your individual Business Units and Functions to ensure smooth process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Agree on policy and strategy decisions for mid-year 2001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Cross calibrate VP results against shared Enron objectives.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numPr>
          <w:ilvl w:val="0"/>
          <w:numId w:val="2"/>
        </w:numPr>
        <w:ind w:hanging="0" w:start="0"/>
        <w:rPr>
          <w:b/>
          <w:bCs/>
        </w:rPr>
      </w:pPr>
      <w:r>
        <w:rPr>
          <w:b/>
          <w:bCs/>
        </w:rPr>
        <w:t>Process/System Changes for Mid-Year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Ratings and Clusters Descriptors</w:t>
      </w:r>
      <w:r>
        <w:rPr>
          <w:rFonts w:cs="Arial" w:ascii="Arial" w:hAnsi="Arial"/>
          <w:sz w:val="24"/>
        </w:rPr>
        <w:t>:</w:t>
      </w:r>
      <w:r>
        <w:rPr>
          <w:rFonts w:cs="Arial" w:ascii="Arial" w:hAnsi="Arial"/>
          <w:b/>
          <w:bCs/>
          <w:sz w:val="24"/>
        </w:rPr>
        <w:t xml:space="preserve">  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--360 Feedback Form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--PRC Meeting evaluators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--All non-exempt employees to be rated in meetings on a 1-3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sz w:val="24"/>
        </w:rPr>
        <w:t>cluster scale.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Preferred Distribution</w:t>
      </w:r>
      <w:r>
        <w:rPr>
          <w:rFonts w:cs="Arial" w:ascii="Arial" w:hAnsi="Arial"/>
          <w:sz w:val="24"/>
        </w:rPr>
        <w:t xml:space="preserve">: 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--Discussion of Preferred Distribution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Functional/Business Unit Meetings</w:t>
      </w:r>
      <w:r>
        <w:rPr>
          <w:rFonts w:cs="Arial" w:ascii="Arial" w:hAnsi="Arial"/>
          <w:sz w:val="24"/>
        </w:rPr>
        <w:t xml:space="preserve">: 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--Functional meetings scheduled before Business Unit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sz w:val="24"/>
        </w:rPr>
        <w:t>meetings.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--LOWER rating prevails unless there is discussion and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sz w:val="24"/>
        </w:rPr>
        <w:t>consensus between the Function and Business Unit.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PRC Eligibility</w:t>
      </w:r>
      <w:r>
        <w:rPr>
          <w:rFonts w:cs="Arial" w:ascii="Arial" w:hAnsi="Arial"/>
          <w:sz w:val="24"/>
        </w:rPr>
        <w:t>:</w:t>
        <w:tab/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--Minimum six months tenure before new employees are</w:t>
      </w:r>
    </w:p>
    <w:p>
      <w:pPr>
        <w:pStyle w:val="Normal"/>
        <w:ind w:firstLine="360" w:start="144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rated in PRC meeting.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Disclosure of rating results</w:t>
      </w:r>
      <w:r>
        <w:rPr>
          <w:rFonts w:cs="Arial" w:ascii="Arial" w:hAnsi="Arial"/>
          <w:sz w:val="24"/>
        </w:rPr>
        <w:t xml:space="preserve">:  Propose to institute a policy of full disclosure of final rating results.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Diversity Issues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ind w:start="1440" w:end="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</w:t>
      </w:r>
    </w:p>
    <w:p>
      <w:pPr>
        <w:pStyle w:val="Heading2"/>
        <w:numPr>
          <w:ilvl w:val="0"/>
          <w:numId w:val="2"/>
        </w:numPr>
        <w:ind w:hanging="0" w:start="0"/>
        <w:rPr>
          <w:b/>
          <w:bCs/>
        </w:rPr>
      </w:pPr>
      <w:r>
        <w:rPr>
          <w:b/>
        </w:rPr>
        <w:t xml:space="preserve">Final </w:t>
      </w:r>
      <w:r>
        <w:rPr>
          <w:b/>
          <w:bCs/>
        </w:rPr>
        <w:t>VP PRC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bCs/>
          <w:sz w:val="24"/>
        </w:rPr>
        <w:t xml:space="preserve">Dates:  </w:t>
      </w:r>
      <w:r>
        <w:rPr>
          <w:rFonts w:cs="Arial" w:ascii="Arial" w:hAnsi="Arial"/>
          <w:sz w:val="24"/>
        </w:rPr>
        <w:t>Final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sz w:val="24"/>
        </w:rPr>
        <w:t>VP PRC is scheduled for 23 July; MD PRC is scheduled for 24 July</w:t>
      </w:r>
    </w:p>
    <w:p>
      <w:pPr>
        <w:pStyle w:val="Heading4"/>
        <w:ind w:hanging="0" w:start="0"/>
        <w:rPr/>
      </w:pPr>
      <w:r>
        <w:rPr/>
        <w:t>V.</w:t>
        <w:tab/>
        <w:t>AOB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80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  <w:i/>
          <w:i/>
          <w:sz w:val="24"/>
        </w:rPr>
      </w:pPr>
      <w:r>
        <w:rPr>
          <w:rFonts w:eastAsia="Arial" w:cs="Arial" w:ascii="Arial" w:hAnsi="Arial"/>
          <w:b/>
          <w:bCs/>
          <w:i/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rFonts w:ascii="Arial" w:hAnsi="Arial" w:cs="Arial"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eastAsia="Times New Roman" w:cs="Times New Roman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Tahoma" w:hAnsi="Tahoma" w:cs="Tahoma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2001-03-21T14:01:00Z</dcterms:created>
  <dc:creator>jclyatt</dc:creator>
  <dc:description/>
  <dc:language>en-CA</dc:language>
  <cp:lastModifiedBy>gcortese</cp:lastModifiedBy>
  <dcterms:modified xsi:type="dcterms:W3CDTF">2001-03-27T15:16:00Z</dcterms:modified>
  <cp:revision>5</cp:revision>
  <dc:subject/>
  <dc:title>MD PRC Meeting</dc:title>
</cp:coreProperties>
</file>