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rightFromText="180" w:tblpX="5" w:tblpY="2345"/>
        <w:tblW w:w="8856" w:type="dxa"/>
        <w:jc w:val="start"/>
        <w:tblInd w:w="108" w:type="dxa"/>
        <w:tblLayout w:type="fixed"/>
        <w:tblCellMar>
          <w:top w:w="0" w:type="dxa"/>
          <w:start w:w="108" w:type="dxa"/>
          <w:bottom w:w="0" w:type="dxa"/>
          <w:end w:w="108" w:type="dxa"/>
        </w:tblCellMar>
      </w:tblPr>
      <w:tblGrid>
        <w:gridCol w:w="8856"/>
      </w:tblGrid>
      <w:tr>
        <w:trPr>
          <w:trHeight w:val="1935" w:hRule="atLeast"/>
        </w:trPr>
        <w:tc>
          <w:tcPr>
            <w:tcW w:w="8856" w:type="dxa"/>
            <w:tcBorders>
              <w:top w:val="single" w:sz="4" w:space="0" w:color="000000"/>
              <w:start w:val="single" w:sz="4" w:space="0" w:color="000000"/>
              <w:end w:val="single" w:sz="4" w:space="0" w:color="000000"/>
            </w:tcBorders>
          </w:tcPr>
          <w:p>
            <w:pPr>
              <w:pStyle w:val="Heading1"/>
              <w:tabs>
                <w:tab w:val="clear" w:pos="720"/>
                <w:tab w:val="left" w:pos="2070" w:leader="none"/>
              </w:tabs>
              <w:snapToGrid w:val="false"/>
              <w:ind w:hanging="0" w:start="0"/>
              <w:rPr>
                <w:rFonts w:ascii="Arial Narrow" w:hAnsi="Arial Narrow" w:cs="Courier New"/>
                <w:sz w:val="24"/>
              </w:rPr>
            </w:pPr>
            <w:r>
              <w:rPr>
                <w:rFonts w:cs="Courier New" w:ascii="Arial Narrow" w:hAnsi="Arial Narrow"/>
                <w:sz w:val="24"/>
              </w:rPr>
            </w:r>
          </w:p>
          <w:p>
            <w:pPr>
              <w:pStyle w:val="Normal"/>
              <w:rPr/>
            </w:pPr>
            <w:r>
              <w:rPr>
                <w:rFonts w:cs="Arial" w:ascii="Arial Narrow" w:hAnsi="Arial Narrow"/>
                <w:b/>
                <w:bCs/>
                <w:sz w:val="24"/>
              </w:rPr>
              <w:t xml:space="preserve">Consultant:       </w:t>
            </w:r>
            <w:r>
              <w:rPr>
                <w:rFonts w:cs="Arial" w:ascii="Arial Narrow" w:hAnsi="Arial Narrow"/>
                <w:sz w:val="24"/>
              </w:rPr>
              <w:t xml:space="preserve">Demetrics Tyson </w:t>
              <w:tab/>
              <w:t xml:space="preserve"> 214.704.5329</w:t>
            </w:r>
          </w:p>
          <w:p>
            <w:pPr>
              <w:pStyle w:val="Heading8"/>
              <w:ind w:hanging="0" w:start="0"/>
              <w:rPr/>
            </w:pPr>
            <w:r>
              <w:rPr>
                <w:rFonts w:eastAsia="Arial Narrow" w:cs="Arial Narrow"/>
              </w:rPr>
              <w:t xml:space="preserve">                           </w:t>
            </w:r>
            <w:r>
              <w:rPr>
                <w:rFonts w:cs="Arial"/>
              </w:rPr>
              <w:t>Hoang Vo                       832.444.2817</w:t>
            </w:r>
          </w:p>
          <w:p>
            <w:pPr>
              <w:pStyle w:val="Normal"/>
              <w:rPr>
                <w:rFonts w:ascii="Arial Narrow" w:hAnsi="Arial Narrow" w:cs="Arial"/>
                <w:sz w:val="24"/>
              </w:rPr>
            </w:pPr>
            <w:r>
              <w:rPr>
                <w:rFonts w:cs="Arial" w:ascii="Arial Narrow" w:hAnsi="Arial Narrow"/>
                <w:sz w:val="24"/>
              </w:rPr>
            </w:r>
          </w:p>
          <w:p>
            <w:pPr>
              <w:pStyle w:val="Heading7"/>
              <w:ind w:hanging="0" w:start="0"/>
              <w:rPr/>
            </w:pPr>
            <w:r>
              <w:rPr>
                <w:rFonts w:cs="Arial"/>
                <w:b/>
                <w:bCs/>
              </w:rPr>
              <w:t>Contact Name:</w:t>
            </w:r>
            <w:r>
              <w:rPr>
                <w:rFonts w:cs="Arial"/>
              </w:rPr>
              <w:t xml:space="preserve">  Tracy Geaccone             713.853.7372</w:t>
            </w:r>
          </w:p>
          <w:p>
            <w:pPr>
              <w:pStyle w:val="Heading7"/>
              <w:ind w:hanging="0" w:start="0"/>
              <w:rPr/>
            </w:pPr>
            <w:r>
              <w:rPr>
                <w:rFonts w:eastAsia="Arial Narrow" w:cs="Arial Narrow"/>
              </w:rPr>
              <w:t xml:space="preserve">                           </w:t>
            </w:r>
            <w:r>
              <w:rPr>
                <w:rFonts w:cs="Arial"/>
              </w:rPr>
              <w:t>James C. Weitekamp     713.853.1529</w:t>
            </w:r>
          </w:p>
          <w:p>
            <w:pPr>
              <w:pStyle w:val="Heading7"/>
              <w:ind w:hanging="0" w:start="0"/>
              <w:rPr/>
            </w:pPr>
            <w:r>
              <w:rPr>
                <w:rFonts w:eastAsia="Arial Narrow" w:cs="Arial Narrow"/>
              </w:rPr>
              <w:t xml:space="preserve">                           </w:t>
            </w:r>
            <w:r>
              <w:rPr>
                <w:rFonts w:cs="Arial"/>
              </w:rPr>
              <w:t>Mary Botello                    713.345.8029</w:t>
            </w:r>
          </w:p>
          <w:p>
            <w:pPr>
              <w:pStyle w:val="Normal"/>
              <w:rPr>
                <w:rFonts w:ascii="Arial Narrow" w:hAnsi="Arial Narrow" w:cs="Arial"/>
                <w:b/>
                <w:bCs/>
                <w:sz w:val="24"/>
              </w:rPr>
            </w:pPr>
            <w:r>
              <w:rPr>
                <w:rFonts w:cs="Arial" w:ascii="Arial Narrow" w:hAnsi="Arial Narrow"/>
                <w:b/>
                <w:bCs/>
                <w:sz w:val="24"/>
              </w:rPr>
            </w:r>
          </w:p>
          <w:p>
            <w:pPr>
              <w:pStyle w:val="Normal"/>
              <w:rPr>
                <w:rFonts w:ascii="Arial Narrow" w:hAnsi="Arial Narrow" w:cs="Courier New"/>
                <w:sz w:val="24"/>
              </w:rPr>
            </w:pPr>
            <w:r>
              <w:rPr>
                <w:rFonts w:cs="Arial" w:ascii="Arial Narrow" w:hAnsi="Arial Narrow"/>
                <w:b/>
                <w:bCs/>
                <w:sz w:val="24"/>
              </w:rPr>
              <w:t xml:space="preserve">Address: </w:t>
              <w:tab/>
            </w:r>
            <w:r>
              <w:rPr>
                <w:rFonts w:cs="Arial" w:ascii="Arial Narrow" w:hAnsi="Arial Narrow"/>
                <w:sz w:val="24"/>
              </w:rPr>
              <w:t xml:space="preserve">1400 Smith Street  </w:t>
              <w:tab/>
              <w:t>Houston, TX 77002</w:t>
            </w:r>
          </w:p>
        </w:tc>
      </w:tr>
      <w:tr>
        <w:trPr>
          <w:trHeight w:val="80" w:hRule="atLeast"/>
        </w:trPr>
        <w:tc>
          <w:tcPr>
            <w:tcW w:w="8856" w:type="dxa"/>
            <w:tcBorders>
              <w:start w:val="single" w:sz="4" w:space="0" w:color="000000"/>
              <w:bottom w:val="single" w:sz="4" w:space="0" w:color="000000"/>
              <w:end w:val="single" w:sz="4" w:space="0" w:color="000000"/>
            </w:tcBorders>
          </w:tcPr>
          <w:p>
            <w:pPr>
              <w:pStyle w:val="Heading1"/>
              <w:tabs>
                <w:tab w:val="clear" w:pos="720"/>
                <w:tab w:val="left" w:pos="2070" w:leader="none"/>
              </w:tabs>
              <w:snapToGrid w:val="false"/>
              <w:ind w:hanging="0" w:start="0"/>
              <w:rPr>
                <w:rFonts w:ascii="Arial Narrow" w:hAnsi="Arial Narrow" w:cs="Courier New"/>
                <w:b/>
                <w:sz w:val="24"/>
              </w:rPr>
            </w:pPr>
            <w:r>
              <w:rPr>
                <w:rFonts w:cs="Courier New" w:ascii="Arial Narrow" w:hAnsi="Arial Narrow"/>
                <w:b/>
                <w:sz w:val="24"/>
              </w:rPr>
            </w:r>
          </w:p>
        </w:tc>
      </w:tr>
    </w:tbl>
    <w:p>
      <w:pPr>
        <w:pStyle w:val="Caption"/>
        <w:rPr>
          <w:rFonts w:cs="Arial"/>
        </w:rPr>
      </w:pPr>
      <w:r/>
      <w:r>
        <w:rPr>
          <w:rFonts w:cs="Arial"/>
        </w:rPr>
        <w:t xml:space="preserve">DEMETRICS TYSON </w:t>
      </w:r>
    </w:p>
    <w:p>
      <w:pPr>
        <w:pStyle w:val="Caption"/>
        <w:rPr>
          <w:rFonts w:cs="Arial"/>
        </w:rPr>
      </w:pPr>
      <w:r>
        <w:rPr>
          <w:rFonts w:cs="Arial"/>
        </w:rPr>
        <w:t xml:space="preserve">ENRON WEEKLY PROGRESS REPORT – November 23. 2001 </w:t>
      </w:r>
    </w:p>
    <w:p>
      <w:pPr>
        <w:pStyle w:val="Normal"/>
        <w:rPr>
          <w:rFonts w:ascii="Arial Narrow" w:hAnsi="Arial Narrow" w:cs="Arial"/>
          <w:sz w:val="24"/>
        </w:rPr>
      </w:pPr>
      <w:r>
        <w:rPr>
          <w:rFonts w:cs="Arial" w:ascii="Arial Narrow" w:hAnsi="Arial Narrow"/>
          <w:sz w:val="24"/>
        </w:rPr>
      </w:r>
    </w:p>
    <w:p>
      <w:pPr>
        <w:pStyle w:val="Normal"/>
        <w:rPr>
          <w:rFonts w:ascii="Arial Narrow" w:hAnsi="Arial Narrow" w:cs="Arial"/>
          <w:b/>
          <w:sz w:val="24"/>
        </w:rPr>
      </w:pPr>
      <w:r>
        <w:rPr>
          <w:rFonts w:cs="Arial" w:ascii="Arial Narrow" w:hAnsi="Arial Narrow"/>
          <w:b/>
          <w:sz w:val="24"/>
        </w:rPr>
      </w:r>
    </w:p>
    <w:p>
      <w:pPr>
        <w:pStyle w:val="Normal"/>
        <w:rPr>
          <w:rFonts w:ascii="Arial Narrow" w:hAnsi="Arial Narrow" w:cs="Arial"/>
          <w:b/>
          <w:sz w:val="24"/>
        </w:rPr>
      </w:pPr>
      <w:r>
        <w:rPr>
          <w:rFonts w:cs="Arial" w:ascii="Arial Narrow" w:hAnsi="Arial Narrow"/>
          <w:b/>
          <w:sz w:val="24"/>
        </w:rPr>
      </w:r>
    </w:p>
    <w:p>
      <w:pPr>
        <w:pStyle w:val="Normal"/>
        <w:rPr>
          <w:rFonts w:ascii="Arial Narrow" w:hAnsi="Arial Narrow" w:cs="Arial"/>
          <w:b/>
          <w:sz w:val="24"/>
        </w:rPr>
      </w:pPr>
      <w:r>
        <w:rPr>
          <w:rFonts w:cs="Arial" w:ascii="Arial Narrow" w:hAnsi="Arial Narrow"/>
          <w:b/>
          <w:sz w:val="24"/>
        </w:rPr>
        <w:t xml:space="preserve">Agenda for the Week:  </w:t>
      </w:r>
    </w:p>
    <w:p>
      <w:pPr>
        <w:pStyle w:val="Normal"/>
        <w:rPr>
          <w:rFonts w:ascii="Arial Narrow" w:hAnsi="Arial Narrow" w:cs="Arial"/>
          <w:bCs/>
          <w:sz w:val="24"/>
        </w:rPr>
      </w:pPr>
      <w:r>
        <w:rPr>
          <w:rFonts w:cs="Arial" w:ascii="Arial Narrow" w:hAnsi="Arial Narrow"/>
          <w:bCs/>
          <w:sz w:val="24"/>
        </w:rPr>
        <w:tab/>
        <w:tab/>
      </w:r>
    </w:p>
    <w:p>
      <w:pPr>
        <w:pStyle w:val="Normal"/>
        <w:numPr>
          <w:ilvl w:val="0"/>
          <w:numId w:val="2"/>
        </w:numPr>
        <w:rPr>
          <w:rFonts w:ascii="Arial Narrow" w:hAnsi="Arial Narrow" w:cs="Arial"/>
          <w:bCs/>
          <w:sz w:val="24"/>
        </w:rPr>
      </w:pPr>
      <w:r>
        <w:rPr>
          <w:rFonts w:cs="Arial" w:ascii="Arial Narrow" w:hAnsi="Arial Narrow"/>
          <w:bCs/>
          <w:sz w:val="24"/>
        </w:rPr>
        <w:t>Insert the cost center and user list into the analyst model.</w:t>
      </w:r>
    </w:p>
    <w:p>
      <w:pPr>
        <w:pStyle w:val="Normal"/>
        <w:numPr>
          <w:ilvl w:val="0"/>
          <w:numId w:val="2"/>
        </w:numPr>
        <w:rPr>
          <w:rFonts w:ascii="Arial Narrow" w:hAnsi="Arial Narrow" w:cs="Arial"/>
          <w:bCs/>
          <w:sz w:val="24"/>
        </w:rPr>
      </w:pPr>
      <w:r>
        <w:rPr>
          <w:rFonts w:cs="Arial" w:ascii="Arial Narrow" w:hAnsi="Arial Narrow"/>
          <w:bCs/>
          <w:sz w:val="24"/>
        </w:rPr>
        <w:t>Load pre-data into the contributor model</w:t>
      </w:r>
    </w:p>
    <w:p>
      <w:pPr>
        <w:pStyle w:val="Normal"/>
        <w:numPr>
          <w:ilvl w:val="0"/>
          <w:numId w:val="2"/>
        </w:numPr>
        <w:rPr>
          <w:rFonts w:ascii="Arial Narrow" w:hAnsi="Arial Narrow" w:cs="Arial"/>
          <w:bCs/>
          <w:sz w:val="24"/>
        </w:rPr>
      </w:pPr>
      <w:r>
        <w:rPr>
          <w:rFonts w:cs="Arial" w:ascii="Arial Narrow" w:hAnsi="Arial Narrow"/>
          <w:bCs/>
          <w:sz w:val="24"/>
        </w:rPr>
        <w:t>Initialize contributor application</w:t>
      </w:r>
    </w:p>
    <w:p>
      <w:pPr>
        <w:pStyle w:val="Normal"/>
        <w:numPr>
          <w:ilvl w:val="0"/>
          <w:numId w:val="2"/>
        </w:numPr>
        <w:rPr>
          <w:rFonts w:ascii="Arial Narrow" w:hAnsi="Arial Narrow" w:cs="Arial"/>
          <w:bCs/>
          <w:sz w:val="24"/>
        </w:rPr>
      </w:pPr>
      <w:r>
        <w:rPr>
          <w:rFonts w:cs="Arial" w:ascii="Arial Narrow" w:hAnsi="Arial Narrow"/>
          <w:bCs/>
          <w:sz w:val="24"/>
        </w:rPr>
        <w:t>Publish views</w:t>
      </w:r>
    </w:p>
    <w:p>
      <w:pPr>
        <w:pStyle w:val="Normal"/>
        <w:numPr>
          <w:ilvl w:val="0"/>
          <w:numId w:val="2"/>
        </w:numPr>
        <w:rPr>
          <w:rFonts w:ascii="Arial Narrow" w:hAnsi="Arial Narrow" w:cs="Arial"/>
          <w:bCs/>
          <w:sz w:val="24"/>
        </w:rPr>
      </w:pPr>
      <w:r>
        <w:rPr>
          <w:rFonts w:cs="Arial" w:ascii="Arial Narrow" w:hAnsi="Arial Narrow"/>
          <w:bCs/>
          <w:sz w:val="24"/>
        </w:rPr>
        <w:t>Load calculated data into contributor model</w:t>
      </w:r>
    </w:p>
    <w:p>
      <w:pPr>
        <w:pStyle w:val="Normal"/>
        <w:ind w:start="720" w:end="0"/>
        <w:rPr>
          <w:rFonts w:ascii="Arial Narrow" w:hAnsi="Arial Narrow" w:cs="Arial"/>
          <w:bCs/>
          <w:sz w:val="24"/>
        </w:rPr>
      </w:pPr>
      <w:r>
        <w:rPr>
          <w:rFonts w:cs="Arial" w:ascii="Arial Narrow" w:hAnsi="Arial Narrow"/>
          <w:bCs/>
          <w:sz w:val="24"/>
        </w:rPr>
      </w:r>
    </w:p>
    <w:p>
      <w:pPr>
        <w:pStyle w:val="Normal"/>
        <w:rPr>
          <w:rFonts w:ascii="Arial Narrow" w:hAnsi="Arial Narrow" w:cs="Arial"/>
          <w:b/>
          <w:bCs/>
          <w:sz w:val="24"/>
        </w:rPr>
      </w:pPr>
      <w:r>
        <w:rPr>
          <w:rFonts w:cs="Arial" w:ascii="Arial Narrow" w:hAnsi="Arial Narrow"/>
          <w:b/>
          <w:bCs/>
          <w:sz w:val="24"/>
        </w:rPr>
      </w:r>
    </w:p>
    <w:p>
      <w:pPr>
        <w:pStyle w:val="Normal"/>
        <w:rPr>
          <w:rFonts w:ascii="Arial Narrow" w:hAnsi="Arial Narrow" w:cs="Arial"/>
          <w:bCs/>
          <w:sz w:val="24"/>
        </w:rPr>
      </w:pPr>
      <w:r>
        <w:rPr>
          <w:rFonts w:cs="Arial" w:ascii="Arial Narrow" w:hAnsi="Arial Narrow"/>
          <w:b/>
          <w:sz w:val="24"/>
        </w:rPr>
        <w:t>Points:</w:t>
      </w:r>
    </w:p>
    <w:p>
      <w:pPr>
        <w:pStyle w:val="Normal"/>
        <w:rPr>
          <w:rFonts w:cs="Arial"/>
        </w:rPr>
      </w:pPr>
      <w:r>
        <w:rPr>
          <w:rFonts w:eastAsia="Arial Narrow" w:cs="Arial Narrow" w:ascii="Arial Narrow" w:hAnsi="Arial Narrow"/>
          <w:bCs/>
          <w:sz w:val="24"/>
        </w:rPr>
        <w:t xml:space="preserve"> </w:t>
      </w:r>
    </w:p>
    <w:p>
      <w:pPr>
        <w:pStyle w:val="Normal"/>
        <w:rPr>
          <w:rFonts w:ascii="Arial Narrow" w:hAnsi="Arial Narrow" w:cs="Arial"/>
          <w:bCs/>
          <w:sz w:val="24"/>
        </w:rPr>
      </w:pPr>
      <w:r>
        <w:rPr>
          <w:rFonts w:cs="Arial" w:ascii="Arial Narrow" w:hAnsi="Arial Narrow"/>
          <w:bCs/>
          <w:sz w:val="24"/>
        </w:rPr>
        <w:t>Contributor application:</w:t>
      </w:r>
    </w:p>
    <w:p>
      <w:pPr>
        <w:pStyle w:val="Normal"/>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 xml:space="preserve">We have been able to execute the data transfer packages from the admin console on the client. The data was loaded into the model successfully.  The initialization of the nodes (283) takes an estimated time of six hours.  Multiple initializations have been completed successfully. </w:t>
      </w:r>
    </w:p>
    <w:p>
      <w:pPr>
        <w:pStyle w:val="Normal"/>
        <w:ind w:start="720" w:end="0"/>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Since Contributor 2.2 was installed security setting has changes.  We are not able to access the application from the web. The web server communication with the database is been restricted in some manner. This issue has been referred to the Adaytum Technical Support. Once the application is on-line we will input data via the web interface.</w:t>
      </w:r>
    </w:p>
    <w:p>
      <w:pPr>
        <w:pStyle w:val="Normal"/>
        <w:ind w:start="720" w:end="0"/>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 xml:space="preserve">The latest production nodes list has 283 items. This list of nodes is a very close representation of what the final would look like.   We discuss the impact on the model a list this size could have.  We will proceed with one list for the contributor application. The alternative was to have a separate contributor application for each functional area in ETS Home Office.  The team had some discussion in regards to the hierarchy of the nodes.  We can expect the hierarchy and users list to change over the next couple days as we determine who needs to see the information.  </w:t>
      </w:r>
    </w:p>
    <w:p>
      <w:pPr>
        <w:pStyle w:val="Normal"/>
        <w:ind w:start="720" w:end="0"/>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t>Timeline:</w:t>
      </w:r>
    </w:p>
    <w:p>
      <w:pPr>
        <w:pStyle w:val="Normal"/>
        <w:rPr>
          <w:rFonts w:ascii="Arial Narrow" w:hAnsi="Arial Narrow" w:cs="Arial"/>
          <w:bCs/>
          <w:sz w:val="24"/>
        </w:rPr>
      </w:pPr>
      <w:r>
        <w:rPr>
          <w:rFonts w:cs="Arial" w:ascii="Arial Narrow" w:hAnsi="Arial Narrow"/>
          <w:bCs/>
          <w:sz w:val="24"/>
        </w:rPr>
        <w:tab/>
      </w:r>
    </w:p>
    <w:p>
      <w:pPr>
        <w:pStyle w:val="Normal"/>
        <w:numPr>
          <w:ilvl w:val="0"/>
          <w:numId w:val="3"/>
        </w:numPr>
        <w:rPr>
          <w:rFonts w:ascii="Arial Narrow" w:hAnsi="Arial Narrow" w:cs="Arial"/>
          <w:bCs/>
          <w:sz w:val="24"/>
        </w:rPr>
      </w:pPr>
      <w:r>
        <w:rPr>
          <w:rFonts w:cs="Arial" w:ascii="Arial Narrow" w:hAnsi="Arial Narrow"/>
          <w:bCs/>
          <w:sz w:val="24"/>
        </w:rPr>
        <w:t xml:space="preserve">Review the users and node hierarchy </w:t>
      </w:r>
    </w:p>
    <w:p>
      <w:pPr>
        <w:pStyle w:val="Normal"/>
        <w:numPr>
          <w:ilvl w:val="0"/>
          <w:numId w:val="3"/>
        </w:numPr>
        <w:rPr>
          <w:rFonts w:ascii="Arial Narrow" w:hAnsi="Arial Narrow" w:cs="Arial"/>
          <w:bCs/>
          <w:sz w:val="24"/>
        </w:rPr>
      </w:pPr>
      <w:r>
        <w:rPr>
          <w:rFonts w:cs="Arial" w:ascii="Arial Narrow" w:hAnsi="Arial Narrow"/>
          <w:bCs/>
          <w:sz w:val="24"/>
        </w:rPr>
        <w:t>Discuss Contributor access restrictions</w:t>
      </w:r>
    </w:p>
    <w:p>
      <w:pPr>
        <w:pStyle w:val="Normal"/>
        <w:numPr>
          <w:ilvl w:val="0"/>
          <w:numId w:val="3"/>
        </w:numPr>
        <w:rPr>
          <w:rFonts w:ascii="Arial Narrow" w:hAnsi="Arial Narrow" w:cs="Arial"/>
          <w:bCs/>
          <w:sz w:val="24"/>
        </w:rPr>
      </w:pPr>
      <w:r>
        <w:rPr>
          <w:rFonts w:cs="Arial" w:ascii="Arial Narrow" w:hAnsi="Arial Narrow"/>
          <w:bCs/>
          <w:sz w:val="24"/>
        </w:rPr>
        <w:t xml:space="preserve">Performance checks </w:t>
      </w:r>
    </w:p>
    <w:p>
      <w:pPr>
        <w:pStyle w:val="Normal"/>
        <w:numPr>
          <w:ilvl w:val="0"/>
          <w:numId w:val="3"/>
        </w:numPr>
        <w:rPr>
          <w:rFonts w:ascii="Arial Narrow" w:hAnsi="Arial Narrow" w:cs="Arial"/>
          <w:bCs/>
          <w:sz w:val="24"/>
        </w:rPr>
      </w:pPr>
      <w:r>
        <w:rPr>
          <w:rFonts w:cs="Arial" w:ascii="Arial Narrow" w:hAnsi="Arial Narrow"/>
          <w:bCs/>
          <w:sz w:val="24"/>
        </w:rPr>
        <w:t>Review the model with team</w:t>
      </w:r>
    </w:p>
    <w:p>
      <w:pPr>
        <w:pStyle w:val="Normal"/>
        <w:numPr>
          <w:ilvl w:val="0"/>
          <w:numId w:val="3"/>
        </w:numPr>
        <w:rPr>
          <w:rFonts w:ascii="Arial Narrow" w:hAnsi="Arial Narrow" w:cs="Arial"/>
          <w:bCs/>
          <w:sz w:val="24"/>
        </w:rPr>
      </w:pPr>
      <w:r>
        <w:rPr>
          <w:rFonts w:cs="Arial" w:ascii="Arial Narrow" w:hAnsi="Arial Narrow"/>
          <w:bCs/>
          <w:sz w:val="24"/>
        </w:rPr>
        <w:t>Create application in Production environment</w:t>
      </w:r>
    </w:p>
    <w:p>
      <w:pPr>
        <w:pStyle w:val="Normal"/>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t xml:space="preserve">Project: </w:t>
      </w:r>
    </w:p>
    <w:p>
      <w:pPr>
        <w:pStyle w:val="Normal"/>
        <w:ind w:start="720" w:end="0"/>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 xml:space="preserve">The data that is retrieved from the Contributor application is feed back into Analyst so that some complex calculations can be done on the data. Unlike the contributor application the size of the node list has a significant impact on the Analyst model.  I discussed these size issues with James and Mary.  We made changes to the analyst model to better manage the data inflows.  The changes resulted in more cubes, but increased the performance level of the model.  </w:t>
      </w:r>
    </w:p>
    <w:p>
      <w:pPr>
        <w:pStyle w:val="Normal"/>
        <w:ind w:start="720" w:end="0"/>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The node lists in the Analyst model were updated with the new list of Cost Centers (nodes).  While updating the model, I reviewed the data sources and import links in the models.  Since we now have a new list of cost centers and employees we are able to do some maintenance work on the model.</w:t>
      </w:r>
    </w:p>
    <w:p>
      <w:pPr>
        <w:pStyle w:val="Normal"/>
        <w:ind w:start="720" w:end="0"/>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t>Others:</w:t>
      </w:r>
    </w:p>
    <w:p>
      <w:pPr>
        <w:pStyle w:val="Normal"/>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 xml:space="preserve">There are Enron IT personnel, Fazil Osman, who are running processes on the development server concurrently with our process.  Because of these simultaneous processes it not possible to do an accurate assessment of time of our processes on the development server.     </w:t>
      </w:r>
    </w:p>
    <w:p>
      <w:pPr>
        <w:pStyle w:val="Normal"/>
        <w:ind w:start="720" w:end="0"/>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I have noticed the significant use of file maps in place of database connection.  I have replaced some of the file maps with database connection to improve data flow. When I ran some of the objects in a macro or d-link I received errors because of the database connection.   For now, I have replaced some of the database connections with file maps.  We will review this issue with the IT dept at a later time.</w:t>
      </w:r>
    </w:p>
    <w:p>
      <w:pPr>
        <w:pStyle w:val="EndnoteText"/>
        <w:rPr>
          <w:rFonts w:ascii="Arial Narrow" w:hAnsi="Arial Narrow" w:cs="Arial Narrow"/>
          <w:bCs/>
          <w:sz w:val="24"/>
        </w:rPr>
      </w:pPr>
      <w:r>
        <w:rPr>
          <w:rFonts w:cs="Arial Narrow" w:ascii="Arial Narrow" w:hAnsi="Arial Narrow"/>
          <w:bCs/>
          <w:sz w:val="24"/>
        </w:rPr>
      </w:r>
    </w:p>
    <w:p>
      <w:pPr>
        <w:pStyle w:val="EndnoteText"/>
        <w:ind w:start="720" w:end="0"/>
        <w:rPr>
          <w:rFonts w:ascii="Arial Narrow" w:hAnsi="Arial Narrow" w:cs="Arial Narrow"/>
          <w:bCs/>
          <w:sz w:val="24"/>
        </w:rPr>
      </w:pPr>
      <w:r>
        <w:rPr>
          <w:rFonts w:cs="Arial Narrow" w:ascii="Arial Narrow" w:hAnsi="Arial Narrow"/>
          <w:bCs/>
          <w:sz w:val="24"/>
        </w:rPr>
      </w:r>
    </w:p>
    <w:p>
      <w:pPr>
        <w:pStyle w:val="EndnoteText"/>
        <w:ind w:start="720" w:end="0"/>
        <w:rPr>
          <w:rFonts w:ascii="Arial Narrow" w:hAnsi="Arial Narrow" w:cs="Arial Narrow"/>
          <w:bCs/>
          <w:sz w:val="24"/>
        </w:rPr>
      </w:pPr>
      <w:r>
        <w:rPr>
          <w:rFonts w:cs="Arial Narrow" w:ascii="Arial Narrow" w:hAnsi="Arial Narrow"/>
          <w:bCs/>
          <w:sz w:val="24"/>
        </w:rPr>
      </w:r>
    </w:p>
    <w:p>
      <w:pPr>
        <w:pStyle w:val="EndnoteText"/>
        <w:ind w:start="720" w:end="0"/>
        <w:rPr>
          <w:rFonts w:ascii="Arial Narrow" w:hAnsi="Arial Narrow" w:cs="Arial Narrow"/>
          <w:bCs/>
          <w:sz w:val="24"/>
        </w:rPr>
      </w:pPr>
      <w:r>
        <w:rPr>
          <w:rFonts w:cs="Arial Narrow" w:ascii="Arial Narrow" w:hAnsi="Arial Narrow"/>
          <w:bCs/>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 xml:space="preserve">Demetrics Tyson </w:t>
    </w:r>
    <w:r>
      <w:rPr/>
      <w:fldChar w:fldCharType="begin"/>
    </w:r>
    <w:r>
      <w:rPr/>
      <w:instrText xml:space="preserve"> DATE \@"M\/d\/yyyy" </w:instrText>
    </w:r>
    <w:r>
      <w:rPr/>
      <w:fldChar w:fldCharType="separate"/>
    </w:r>
    <w:r>
      <w:rPr/>
      <w:t>9/28/2025</w:t>
    </w:r>
    <w:r>
      <w:rPr/>
      <w:fldChar w:fldCharType="end"/>
    </w:r>
    <w:r>
      <w:rPr/>
      <w:fldChar w:fldCharType="begin"/>
    </w:r>
    <w:r>
      <w:rPr/>
      <w:instrText xml:space="preserve"> TIME \@"H:mm\ AM/PM" </w:instrText>
    </w:r>
    <w:r>
      <w:rPr/>
      <w:fldChar w:fldCharType="separate"/>
    </w:r>
    <w:r>
      <w:rPr/>
      <w:t>9:04 AM</w:t>
    </w:r>
    <w:r>
      <w:rPr/>
      <w:fldChar w:fldCharType="end"/>
    </w:r>
    <w:r>
      <w:rPr/>
      <w:t xml:space="preserve"> </w:t>
    </w:r>
    <w:r>
      <mc:AlternateContent>
        <mc:Choice Requires="wps">
          <w:drawing>
            <wp:anchor behindDoc="0" distT="0" distB="0" distL="0" distR="0" simplePos="0" locked="0" layoutInCell="0" allowOverlap="1" relativeHeight="4">
              <wp:simplePos x="0" y="0"/>
              <wp:positionH relativeFrom="margin">
                <wp:align>left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i/>
      <w:sz w:val="24"/>
    </w:rPr>
  </w:style>
  <w:style w:type="paragraph" w:styleId="Heading4">
    <w:name w:val="heading 4"/>
    <w:basedOn w:val="Normal"/>
    <w:next w:val="Normal"/>
    <w:qFormat/>
    <w:pPr>
      <w:keepNext w:val="true"/>
      <w:numPr>
        <w:ilvl w:val="3"/>
        <w:numId w:val="1"/>
      </w:numPr>
      <w:jc w:val="both"/>
      <w:outlineLvl w:val="3"/>
    </w:pPr>
    <w:rPr>
      <w:b/>
      <w:bCs/>
      <w:i/>
      <w:iCs/>
      <w:sz w:val="24"/>
    </w:rPr>
  </w:style>
  <w:style w:type="paragraph" w:styleId="Heading5">
    <w:name w:val="heading 5"/>
    <w:basedOn w:val="Normal"/>
    <w:next w:val="Normal"/>
    <w:qFormat/>
    <w:pPr>
      <w:keepNext w:val="true"/>
      <w:numPr>
        <w:ilvl w:val="4"/>
        <w:numId w:val="1"/>
      </w:numPr>
      <w:ind w:firstLine="720" w:start="0" w:end="0"/>
      <w:outlineLvl w:val="4"/>
    </w:pPr>
    <w:rPr>
      <w:sz w:val="24"/>
    </w:rPr>
  </w:style>
  <w:style w:type="paragraph" w:styleId="Heading6">
    <w:name w:val="heading 6"/>
    <w:basedOn w:val="Normal"/>
    <w:next w:val="Normal"/>
    <w:qFormat/>
    <w:pPr>
      <w:keepNext w:val="true"/>
      <w:numPr>
        <w:ilvl w:val="5"/>
        <w:numId w:val="1"/>
      </w:numPr>
      <w:ind w:hanging="0" w:start="1080" w:end="0"/>
      <w:outlineLvl w:val="5"/>
    </w:pPr>
    <w:rPr>
      <w:sz w:val="24"/>
    </w:rPr>
  </w:style>
  <w:style w:type="paragraph" w:styleId="Heading7">
    <w:name w:val="heading 7"/>
    <w:basedOn w:val="Normal"/>
    <w:next w:val="Normal"/>
    <w:qFormat/>
    <w:pPr>
      <w:keepNext w:val="true"/>
      <w:numPr>
        <w:ilvl w:val="6"/>
        <w:numId w:val="1"/>
      </w:numPr>
      <w:outlineLvl w:val="6"/>
    </w:pPr>
    <w:rPr>
      <w:rFonts w:ascii="Arial Narrow" w:hAnsi="Arial Narrow" w:cs="Courier New"/>
      <w:sz w:val="24"/>
    </w:rPr>
  </w:style>
  <w:style w:type="paragraph" w:styleId="Heading8">
    <w:name w:val="heading 8"/>
    <w:basedOn w:val="Normal"/>
    <w:next w:val="Normal"/>
    <w:qFormat/>
    <w:pPr>
      <w:keepNext w:val="true"/>
      <w:numPr>
        <w:ilvl w:val="7"/>
        <w:numId w:val="1"/>
      </w:numPr>
      <w:outlineLvl w:val="7"/>
    </w:pPr>
    <w:rPr>
      <w:rFonts w:ascii="Arial Narrow" w:hAnsi="Arial Narrow" w:cs="Courier New"/>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color w:val="000000"/>
      <w:sz w:val="28"/>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color w:val="000000"/>
      <w:sz w:val="28"/>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sz w:val="16"/>
    </w:rPr>
  </w:style>
  <w:style w:type="character" w:styleId="WW8Num35z1">
    <w:name w:val="WW8Num35z1"/>
    <w:qFormat/>
    <w:rPr>
      <w:rFonts w:ascii="Wingdings" w:hAnsi="Wingdings" w:cs="Wingdings"/>
    </w:rPr>
  </w:style>
  <w:style w:type="character" w:styleId="WW8Num35z3">
    <w:name w:val="WW8Num35z3"/>
    <w:qFormat/>
    <w:rPr>
      <w:rFonts w:ascii="Symbol" w:hAnsi="Symbol" w:cs="Symbol"/>
    </w:rPr>
  </w:style>
  <w:style w:type="character" w:styleId="WW8Num35z4">
    <w:name w:val="WW8Num35z4"/>
    <w:qFormat/>
    <w:rPr>
      <w:rFonts w:ascii="Courier New" w:hAnsi="Courier New" w:cs="Courier New"/>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000000"/>
      <w:sz w:val="28"/>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Times New Roman" w:hAnsi="Times New Roman" w:eastAsia="Times New Roman" w:cs="Times New Roman"/>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next w:val="Normal"/>
    <w:qFormat/>
    <w:pPr/>
    <w:rPr>
      <w:rFonts w:ascii="Arial Narrow" w:hAnsi="Arial Narrow" w:cs="Courier New"/>
      <w:b/>
      <w:bCs/>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FootnoteText">
    <w:name w:val="footnote text"/>
    <w:basedOn w:val="Normal"/>
    <w:pPr>
      <w:jc w:val="end"/>
    </w:pPr>
    <w:rPr>
      <w:rFonts w:ascii="Arial Narrow" w:hAnsi="Arial Narrow" w:cs="Arial Narrow"/>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2001-11-27T00:46:00Z</dcterms:created>
  <dc:creator>Preferred Customer</dc:creator>
  <dc:description>Items CompletedPRESCO PRODUCTS WEEKLY PROGRESS REPORTDetermine timeline for Cost Allocation and Production modules.Complete P&amp;L, B/S, CF, Sales, and Labor modules by 1/25/00.Complete front-end, testing and output reports by 1/26/00.</dc:description>
  <cp:keywords>module josh sale complete cf</cp:keywords>
  <dc:language>en-CA</dc:language>
  <cp:lastModifiedBy>dtyson</cp:lastModifiedBy>
  <dcterms:modified xsi:type="dcterms:W3CDTF">2001-11-28T00:37:00Z</dcterms:modified>
  <cp:revision>41</cp:revision>
  <dc:subject/>
  <dc:title>PRESCO PRODUCTS WEEKLY PROGRESS REPORT</dc:title>
</cp:coreProperties>
</file>