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4"/>
        </w:rPr>
      </w:pPr>
      <w:r>
        <w:rPr>
          <w:sz w:val="24"/>
        </w:rPr>
        <w:t>ENRON – ETS GROUP, WEEKLY PROGRESS REPORT</w:t>
      </w:r>
    </w:p>
    <w:p>
      <w:pPr>
        <w:pStyle w:val="Normal"/>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2898"/>
        <w:gridCol w:w="3006"/>
        <w:gridCol w:w="2952"/>
      </w:tblGrid>
      <w:tr>
        <w:trPr>
          <w:trHeight w:val="440" w:hRule="atLeast"/>
        </w:trPr>
        <w:tc>
          <w:tcPr>
            <w:tcW w:w="2898" w:type="dxa"/>
            <w:tcBorders>
              <w:top w:val="single" w:sz="4" w:space="0" w:color="000000"/>
              <w:start w:val="single" w:sz="4" w:space="0" w:color="000000"/>
              <w:bottom w:val="single" w:sz="4" w:space="0" w:color="000000"/>
              <w:end w:val="single" w:sz="4" w:space="0" w:color="000000"/>
            </w:tcBorders>
          </w:tcPr>
          <w:p>
            <w:pPr>
              <w:pStyle w:val="Normal"/>
              <w:rPr>
                <w:b/>
              </w:rPr>
            </w:pPr>
            <w:r>
              <w:rPr>
                <w:b/>
              </w:rPr>
              <w:t>Consultant:</w:t>
            </w:r>
          </w:p>
        </w:tc>
        <w:tc>
          <w:tcPr>
            <w:tcW w:w="3006" w:type="dxa"/>
            <w:tcBorders>
              <w:top w:val="single" w:sz="4" w:space="0" w:color="000000"/>
              <w:start w:val="single" w:sz="4" w:space="0" w:color="000000"/>
              <w:bottom w:val="single" w:sz="4" w:space="0" w:color="000000"/>
              <w:end w:val="single" w:sz="4" w:space="0" w:color="000000"/>
            </w:tcBorders>
          </w:tcPr>
          <w:p>
            <w:pPr>
              <w:pStyle w:val="Normal"/>
              <w:rPr/>
            </w:pPr>
            <w:r>
              <w:rPr/>
              <w:t>Hoang Vo</w:t>
            </w:r>
          </w:p>
          <w:p>
            <w:pPr>
              <w:pStyle w:val="Normal"/>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b/>
              </w:rPr>
              <w:t>Consulting Period:</w:t>
            </w:r>
            <w:r>
              <w:rPr/>
              <w:t xml:space="preserve"> 11 Nov, 2001 through 17 Nov, 2001</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b/>
              </w:rPr>
            </w:pPr>
            <w:r>
              <w:rPr>
                <w:b/>
              </w:rPr>
              <w:t>Contact Name:</w:t>
            </w:r>
          </w:p>
        </w:tc>
        <w:tc>
          <w:tcPr>
            <w:tcW w:w="3006"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Tracy Geaccone</w:t>
            </w:r>
          </w:p>
          <w:p>
            <w:pPr>
              <w:pStyle w:val="Normal"/>
              <w:rPr>
                <w:color w:val="000000"/>
              </w:rPr>
            </w:pPr>
            <w:r>
              <w:rPr>
                <w:color w:val="000000"/>
              </w:rPr>
            </w:r>
          </w:p>
        </w:tc>
        <w:tc>
          <w:tcPr>
            <w:tcW w:w="2952" w:type="dxa"/>
            <w:tcBorders/>
            <w:tcMar>
              <w:start w:w="0" w:type="dxa"/>
              <w:end w:w="0" w:type="dxa"/>
            </w:tcMar>
          </w:tcPr>
          <w:p>
            <w:pPr>
              <w:pStyle w:val="Normal"/>
              <w:snapToGrid w:val="false"/>
              <w:rPr/>
            </w:pPr>
            <w:r>
              <w:rPr/>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b/>
              </w:rPr>
            </w:pPr>
            <w:r>
              <w:rPr>
                <w:b/>
              </w:rPr>
              <w:t>Address:</w:t>
            </w:r>
          </w:p>
        </w:tc>
        <w:tc>
          <w:tcPr>
            <w:tcW w:w="3006"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rPr>
            </w:pPr>
            <w:r>
              <w:rPr>
                <w:rFonts w:cs="Times New Roman" w:ascii="Times New Roman" w:hAnsi="Times New Roman"/>
              </w:rPr>
              <w:t>Enron – ETS Group</w:t>
            </w:r>
          </w:p>
          <w:p>
            <w:pPr>
              <w:pStyle w:val="BodyText"/>
              <w:rPr>
                <w:rFonts w:ascii="Times New Roman" w:hAnsi="Times New Roman" w:cs="Times New Roman"/>
              </w:rPr>
            </w:pPr>
            <w:r>
              <w:rPr>
                <w:rFonts w:cs="Times New Roman" w:ascii="Times New Roman" w:hAnsi="Times New Roman"/>
              </w:rPr>
              <w:t>1400 Smith Street,</w:t>
            </w:r>
          </w:p>
          <w:p>
            <w:pPr>
              <w:pStyle w:val="BodyText"/>
              <w:rPr>
                <w:rFonts w:ascii="Times New Roman" w:hAnsi="Times New Roman" w:cs="Times New Roman"/>
              </w:rPr>
            </w:pPr>
            <w:r>
              <w:rPr>
                <w:rFonts w:cs="Times New Roman" w:ascii="Times New Roman" w:hAnsi="Times New Roman"/>
              </w:rPr>
              <w:t>Houston, Tx 77002</w:t>
            </w:r>
          </w:p>
        </w:tc>
        <w:tc>
          <w:tcPr>
            <w:tcW w:w="2952" w:type="dxa"/>
            <w:tcBorders/>
            <w:tcMar>
              <w:start w:w="0" w:type="dxa"/>
              <w:end w:w="0" w:type="dxa"/>
            </w:tcMar>
          </w:tcPr>
          <w:p>
            <w:pPr>
              <w:pStyle w:val="Normal"/>
              <w:snapToGrid w:val="false"/>
              <w:rPr>
                <w:rFonts w:ascii="Times New Roman" w:hAnsi="Times New Roman" w:cs="Times New Roman"/>
              </w:rPr>
            </w:pPr>
            <w:r>
              <w:rPr>
                <w:rFonts w:cs="Times New Roman"/>
              </w:rPr>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b/>
              </w:rPr>
            </w:pPr>
            <w:r>
              <w:rPr>
                <w:b/>
              </w:rPr>
              <w:t>Phone:</w:t>
            </w:r>
          </w:p>
        </w:tc>
        <w:tc>
          <w:tcPr>
            <w:tcW w:w="3006" w:type="dxa"/>
            <w:tcBorders>
              <w:top w:val="single" w:sz="4" w:space="0" w:color="000000"/>
              <w:start w:val="single" w:sz="4" w:space="0" w:color="000000"/>
              <w:bottom w:val="single" w:sz="4" w:space="0" w:color="000000"/>
              <w:end w:val="single" w:sz="4" w:space="0" w:color="000000"/>
            </w:tcBorders>
          </w:tcPr>
          <w:p>
            <w:pPr>
              <w:pStyle w:val="Normal"/>
              <w:rPr/>
            </w:pPr>
            <w:r>
              <w:rPr/>
              <w:t>713-853-7372</w:t>
            </w:r>
          </w:p>
        </w:tc>
        <w:tc>
          <w:tcPr>
            <w:tcW w:w="2952" w:type="dxa"/>
            <w:tcBorders/>
            <w:tcMar>
              <w:start w:w="0" w:type="dxa"/>
              <w:end w:w="0" w:type="dxa"/>
            </w:tcMar>
          </w:tcPr>
          <w:p>
            <w:pPr>
              <w:pStyle w:val="Normal"/>
              <w:snapToGrid w:val="false"/>
              <w:rPr/>
            </w:pPr>
            <w:r>
              <w:rPr/>
            </w:r>
          </w:p>
        </w:tc>
      </w:tr>
    </w:tbl>
    <w:p>
      <w:pPr>
        <w:pStyle w:val="Normal"/>
        <w:rPr/>
      </w:pPr>
      <w:r>
        <w:rPr/>
      </w:r>
    </w:p>
    <w:p>
      <w:pPr>
        <w:pStyle w:val="Normal"/>
        <w:rPr/>
      </w:pPr>
      <w:r>
        <w:rPr/>
      </w:r>
    </w:p>
    <w:p>
      <w:pPr>
        <w:pStyle w:val="Normal"/>
        <w:rPr>
          <w:b/>
          <w:i/>
          <w:i/>
          <w:sz w:val="24"/>
          <w:u w:val="single"/>
        </w:rPr>
      </w:pPr>
      <w:r>
        <w:rPr>
          <w:b/>
          <w:i/>
          <w:sz w:val="24"/>
          <w:u w:val="single"/>
        </w:rPr>
        <w:t>Agenda for the Week:</w:t>
      </w:r>
    </w:p>
    <w:p>
      <w:pPr>
        <w:pStyle w:val="Normal"/>
        <w:rPr>
          <w:b/>
          <w:i/>
          <w:i/>
          <w:sz w:val="24"/>
          <w:u w:val="single"/>
        </w:rPr>
      </w:pPr>
      <w:r>
        <w:rPr>
          <w:b/>
          <w:i/>
          <w:sz w:val="24"/>
          <w:u w:val="single"/>
        </w:rPr>
      </w:r>
    </w:p>
    <w:p>
      <w:pPr>
        <w:pStyle w:val="Normal"/>
        <w:numPr>
          <w:ilvl w:val="0"/>
          <w:numId w:val="2"/>
        </w:numPr>
        <w:rPr>
          <w:sz w:val="24"/>
        </w:rPr>
      </w:pPr>
      <w:r>
        <w:rPr>
          <w:sz w:val="24"/>
        </w:rPr>
        <w:t>Install Contributor version 2.2 on development server.</w:t>
      </w:r>
    </w:p>
    <w:p>
      <w:pPr>
        <w:pStyle w:val="Normal"/>
        <w:numPr>
          <w:ilvl w:val="0"/>
          <w:numId w:val="2"/>
        </w:numPr>
        <w:rPr>
          <w:sz w:val="24"/>
        </w:rPr>
      </w:pPr>
      <w:r>
        <w:rPr>
          <w:sz w:val="24"/>
        </w:rPr>
        <w:t>Run benchmark tests after Contributor upgrade.</w:t>
      </w:r>
    </w:p>
    <w:p>
      <w:pPr>
        <w:pStyle w:val="Normal"/>
        <w:numPr>
          <w:ilvl w:val="0"/>
          <w:numId w:val="2"/>
        </w:numPr>
        <w:rPr>
          <w:sz w:val="24"/>
        </w:rPr>
      </w:pPr>
      <w:r>
        <w:rPr>
          <w:sz w:val="24"/>
        </w:rPr>
        <w:t>Test sample model and processes on Development server with new Contributor version.</w:t>
      </w:r>
    </w:p>
    <w:p>
      <w:pPr>
        <w:pStyle w:val="Normal"/>
        <w:rPr>
          <w:sz w:val="24"/>
        </w:rPr>
      </w:pPr>
      <w:r>
        <w:rPr>
          <w:sz w:val="24"/>
        </w:rPr>
      </w:r>
    </w:p>
    <w:p>
      <w:pPr>
        <w:pStyle w:val="Normal"/>
        <w:rPr>
          <w:sz w:val="24"/>
        </w:rPr>
      </w:pPr>
      <w:r>
        <w:rPr>
          <w:sz w:val="24"/>
        </w:rPr>
      </w:r>
    </w:p>
    <w:p>
      <w:pPr>
        <w:pStyle w:val="Heading3"/>
        <w:ind w:hanging="0" w:start="0"/>
        <w:rPr>
          <w:u w:val="single"/>
        </w:rPr>
      </w:pPr>
      <w:r>
        <w:rPr>
          <w:u w:val="single"/>
        </w:rPr>
        <w:t>Items Completed</w:t>
      </w:r>
    </w:p>
    <w:p>
      <w:pPr>
        <w:pStyle w:val="Normal"/>
        <w:rPr>
          <w:sz w:val="24"/>
          <w:u w:val="single"/>
        </w:rPr>
      </w:pPr>
      <w:r>
        <w:rPr>
          <w:sz w:val="24"/>
          <w:u w:val="single"/>
        </w:rPr>
      </w:r>
    </w:p>
    <w:p>
      <w:pPr>
        <w:pStyle w:val="Normal"/>
        <w:numPr>
          <w:ilvl w:val="0"/>
          <w:numId w:val="2"/>
        </w:numPr>
        <w:rPr>
          <w:sz w:val="24"/>
        </w:rPr>
      </w:pPr>
      <w:r>
        <w:rPr>
          <w:sz w:val="24"/>
        </w:rPr>
        <w:t>Upgraded Development sever to Contributor version 2.2.</w:t>
      </w:r>
    </w:p>
    <w:p>
      <w:pPr>
        <w:pStyle w:val="Normal"/>
        <w:numPr>
          <w:ilvl w:val="0"/>
          <w:numId w:val="2"/>
        </w:numPr>
        <w:rPr>
          <w:sz w:val="24"/>
        </w:rPr>
      </w:pPr>
      <w:r>
        <w:rPr>
          <w:sz w:val="24"/>
        </w:rPr>
        <w:t>Preliminary Benchmark testing showed a significant increase in performance increases.</w:t>
      </w:r>
    </w:p>
    <w:p>
      <w:pPr>
        <w:pStyle w:val="Normal"/>
        <w:numPr>
          <w:ilvl w:val="0"/>
          <w:numId w:val="2"/>
        </w:numPr>
        <w:rPr>
          <w:sz w:val="24"/>
        </w:rPr>
      </w:pPr>
      <w:r>
        <w:rPr>
          <w:sz w:val="24"/>
        </w:rPr>
        <w:t>The majority of the O&amp;M applications have been updated.  This process has taken a significant amount of time longer than expected due to two reasons.  Pat and I are overwhelmed with Cost Center additions and employee moves.  Secondly significant changes to the Direct Expenses cube required that data be backed up and restored after synchronization.  This doubles the time required to update the application with the model changes.</w:t>
      </w:r>
    </w:p>
    <w:p>
      <w:pPr>
        <w:pStyle w:val="Normal"/>
        <w:rPr>
          <w:sz w:val="24"/>
        </w:rPr>
      </w:pPr>
      <w:r>
        <w:rPr>
          <w:sz w:val="24"/>
        </w:rPr>
      </w:r>
    </w:p>
    <w:p>
      <w:pPr>
        <w:pStyle w:val="Normal"/>
        <w:rPr/>
      </w:pPr>
      <w:r>
        <w:rPr/>
      </w:r>
    </w:p>
    <w:p>
      <w:pPr>
        <w:pStyle w:val="Heading2"/>
        <w:ind w:hanging="0" w:start="0"/>
        <w:rPr>
          <w:sz w:val="24"/>
          <w:u w:val="single"/>
        </w:rPr>
      </w:pPr>
      <w:r>
        <w:rPr>
          <w:sz w:val="24"/>
          <w:u w:val="single"/>
        </w:rPr>
        <w:t>Agenda for the next Week</w:t>
      </w:r>
    </w:p>
    <w:p>
      <w:pPr>
        <w:pStyle w:val="Normal"/>
        <w:rPr>
          <w:sz w:val="24"/>
          <w:u w:val="single"/>
        </w:rPr>
      </w:pPr>
      <w:r>
        <w:rPr>
          <w:sz w:val="24"/>
          <w:u w:val="single"/>
        </w:rPr>
      </w:r>
    </w:p>
    <w:p>
      <w:pPr>
        <w:pStyle w:val="Normal"/>
        <w:numPr>
          <w:ilvl w:val="0"/>
          <w:numId w:val="2"/>
        </w:numPr>
        <w:rPr>
          <w:sz w:val="24"/>
        </w:rPr>
      </w:pPr>
      <w:r>
        <w:rPr>
          <w:sz w:val="24"/>
        </w:rPr>
        <w:t>Complete benchmark testing.</w:t>
      </w:r>
    </w:p>
    <w:p>
      <w:pPr>
        <w:pStyle w:val="Normal"/>
        <w:numPr>
          <w:ilvl w:val="0"/>
          <w:numId w:val="2"/>
        </w:numPr>
        <w:rPr>
          <w:sz w:val="24"/>
        </w:rPr>
      </w:pPr>
      <w:r>
        <w:rPr>
          <w:sz w:val="24"/>
        </w:rPr>
        <w:t>Complete process testing on Development server.</w:t>
      </w:r>
    </w:p>
    <w:p>
      <w:pPr>
        <w:pStyle w:val="Heading4"/>
        <w:ind w:hanging="0" w:start="0"/>
        <w:rPr>
          <w:sz w:val="24"/>
        </w:rPr>
      </w:pPr>
      <w:r>
        <w:rPr>
          <w:sz w:val="24"/>
        </w:rPr>
      </w:r>
    </w:p>
    <w:sectPr>
      <w:type w:val="nextPage"/>
      <w:pgSz w:w="12240" w:h="15840"/>
      <w:pgMar w:left="1800" w:right="1800" w:gutter="0" w:header="0" w:top="99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outlineLvl w:val="2"/>
    </w:pPr>
    <w:rPr>
      <w:b/>
      <w:i/>
      <w:sz w:val="24"/>
    </w:rPr>
  </w:style>
  <w:style w:type="paragraph" w:styleId="Heading4">
    <w:name w:val="heading 4"/>
    <w:basedOn w:val="Normal"/>
    <w:next w:val="Normal"/>
    <w:qFormat/>
    <w:pPr>
      <w:keepNext w:val="true"/>
      <w:numPr>
        <w:ilvl w:val="3"/>
        <w:numId w:val="1"/>
      </w:numPr>
      <w:outlineLvl w:val="3"/>
    </w:pPr>
    <w:rPr>
      <w:b/>
      <w:bCs/>
      <w:i/>
      <w:iCs/>
      <w:sz w:val="24"/>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2">
    <w:name w:val="WW8Num22z2"/>
    <w:qFormat/>
    <w:rPr>
      <w:rFonts w:ascii="Wingdings" w:hAnsi="Wingdings" w:cs="Wingdings"/>
    </w:rPr>
  </w:style>
  <w:style w:type="character" w:styleId="WW8Num22z4">
    <w:name w:val="WW8Num22z4"/>
    <w:qFormat/>
    <w:rPr>
      <w:rFonts w:ascii="Courier New" w:hAnsi="Courier New" w:cs="Courier New"/>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4"/>
    </w:rPr>
  </w:style>
  <w:style w:type="paragraph" w:styleId="BodyTextIndent2">
    <w:name w:val="Body Text Indent 2"/>
    <w:basedOn w:val="Normal"/>
    <w:qFormat/>
    <w:pPr>
      <w:ind w:hanging="0" w:start="360" w:end="0"/>
    </w:pPr>
    <w:rPr>
      <w:sz w:val="24"/>
    </w:rPr>
  </w:style>
  <w:style w:type="paragraph" w:styleId="BodyText2">
    <w:name w:val="Body Text 2"/>
    <w:basedOn w:val="Normal"/>
    <w:qFormat/>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2001-11-13T12:27:00Z</dcterms:created>
  <dc:creator>Riaz Fatehi</dc:creator>
  <dc:description/>
  <cp:keywords>Progress Report</cp:keywords>
  <dc:language>en-CA</dc:language>
  <cp:lastModifiedBy>hvo</cp:lastModifiedBy>
  <dcterms:modified xsi:type="dcterms:W3CDTF">2001-11-19T15:24:00Z</dcterms:modified>
  <cp:revision>3</cp:revision>
  <dc:subject/>
  <dc:title>WEEKLY PROGRESS REPORT</dc:title>
</cp:coreProperties>
</file>