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5" w:tblpY="2345"/>
        <w:tblW w:w="8856" w:type="dxa"/>
        <w:jc w:val="start"/>
        <w:tblInd w:w="108" w:type="dxa"/>
        <w:tblLayout w:type="fixed"/>
        <w:tblCellMar>
          <w:top w:w="0" w:type="dxa"/>
          <w:start w:w="108" w:type="dxa"/>
          <w:bottom w:w="0" w:type="dxa"/>
          <w:end w:w="108" w:type="dxa"/>
        </w:tblCellMar>
      </w:tblPr>
      <w:tblGrid>
        <w:gridCol w:w="8856"/>
      </w:tblGrid>
      <w:tr>
        <w:trPr>
          <w:trHeight w:val="1935" w:hRule="atLeast"/>
        </w:trPr>
        <w:tc>
          <w:tcPr>
            <w:tcW w:w="8856" w:type="dxa"/>
            <w:tcBorders>
              <w:top w:val="single" w:sz="4" w:space="0" w:color="000000"/>
              <w:start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sz w:val="24"/>
              </w:rPr>
            </w:pPr>
            <w:r>
              <w:rPr>
                <w:rFonts w:cs="Courier New" w:ascii="Arial Narrow" w:hAnsi="Arial Narrow"/>
                <w:sz w:val="24"/>
              </w:rPr>
            </w:r>
          </w:p>
          <w:p>
            <w:pPr>
              <w:pStyle w:val="Normal"/>
              <w:rPr/>
            </w:pPr>
            <w:r>
              <w:rPr>
                <w:rFonts w:cs="Courier New" w:ascii="Arial Narrow" w:hAnsi="Arial Narrow"/>
                <w:b/>
                <w:bCs/>
                <w:sz w:val="24"/>
              </w:rPr>
              <w:t>Consultant:</w:t>
              <w:tab/>
            </w:r>
            <w:r>
              <w:rPr>
                <w:rFonts w:cs="Courier New" w:ascii="Arial Narrow" w:hAnsi="Arial Narrow"/>
                <w:sz w:val="24"/>
              </w:rPr>
              <w:t xml:space="preserve">Demetrics Tyson </w:t>
              <w:tab/>
              <w:t xml:space="preserve"> 214.704.5329</w:t>
            </w:r>
          </w:p>
          <w:p>
            <w:pPr>
              <w:pStyle w:val="Heading8"/>
              <w:ind w:hanging="0" w:start="0"/>
              <w:rPr/>
            </w:pPr>
            <w:r>
              <w:rPr>
                <w:rFonts w:eastAsia="Arial Narrow" w:cs="Arial Narrow"/>
              </w:rPr>
              <w:t xml:space="preserve">                          </w:t>
            </w:r>
            <w:r>
              <w:rPr/>
              <w:t>Hoang Vo                        832.444.2817</w:t>
            </w:r>
          </w:p>
          <w:p>
            <w:pPr>
              <w:pStyle w:val="Normal"/>
              <w:rPr>
                <w:rFonts w:ascii="Arial Narrow" w:hAnsi="Arial Narrow" w:cs="Courier New"/>
                <w:sz w:val="24"/>
              </w:rPr>
            </w:pPr>
            <w:r>
              <w:rPr>
                <w:rFonts w:cs="Courier New" w:ascii="Arial Narrow" w:hAnsi="Arial Narrow"/>
                <w:sz w:val="24"/>
              </w:rPr>
            </w:r>
          </w:p>
          <w:p>
            <w:pPr>
              <w:pStyle w:val="Heading7"/>
              <w:ind w:hanging="0" w:start="0"/>
              <w:rPr/>
            </w:pPr>
            <w:r>
              <w:rPr>
                <w:b/>
                <w:bCs/>
              </w:rPr>
              <w:t>Contact Name:</w:t>
            </w:r>
            <w:r>
              <w:rPr/>
              <w:t xml:space="preserve"> Tracy Geaccone             713.853.7372</w:t>
            </w:r>
          </w:p>
          <w:p>
            <w:pPr>
              <w:pStyle w:val="Heading7"/>
              <w:ind w:hanging="0" w:start="0"/>
              <w:rPr/>
            </w:pPr>
            <w:r>
              <w:rPr>
                <w:rFonts w:eastAsia="Arial Narrow" w:cs="Arial Narrow"/>
              </w:rPr>
              <w:t xml:space="preserve">                          </w:t>
            </w:r>
            <w:r>
              <w:rPr/>
              <w:t>James C. Weitekamp     713.853.1529</w:t>
            </w:r>
          </w:p>
          <w:p>
            <w:pPr>
              <w:pStyle w:val="Heading7"/>
              <w:ind w:hanging="0" w:start="0"/>
              <w:rPr/>
            </w:pPr>
            <w:r>
              <w:rPr>
                <w:rFonts w:eastAsia="Arial Narrow" w:cs="Arial Narrow"/>
              </w:rPr>
              <w:t xml:space="preserve">                          </w:t>
            </w:r>
            <w:r>
              <w:rPr/>
              <w:t>Mary Botello                   713.345.8029</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Courier New"/>
                <w:sz w:val="24"/>
              </w:rPr>
            </w:pPr>
            <w:r>
              <w:rPr>
                <w:rFonts w:cs="Arial Narrow" w:ascii="Arial Narrow" w:hAnsi="Arial Narrow"/>
                <w:b/>
                <w:bCs/>
                <w:sz w:val="24"/>
              </w:rPr>
              <w:t xml:space="preserve">Address: </w:t>
              <w:tab/>
            </w:r>
            <w:r>
              <w:rPr>
                <w:rFonts w:cs="Arial Narrow" w:ascii="Arial Narrow" w:hAnsi="Arial Narrow"/>
                <w:sz w:val="24"/>
              </w:rPr>
              <w:t xml:space="preserve">1400 Smith Street  </w:t>
              <w:tab/>
              <w:t>Houston, TX 77002</w:t>
            </w:r>
          </w:p>
        </w:tc>
      </w:tr>
      <w:tr>
        <w:trPr>
          <w:trHeight w:val="80" w:hRule="atLeast"/>
        </w:trPr>
        <w:tc>
          <w:tcPr>
            <w:tcW w:w="8856" w:type="dxa"/>
            <w:tcBorders>
              <w:start w:val="single" w:sz="4" w:space="0" w:color="000000"/>
              <w:bottom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b/>
                <w:sz w:val="24"/>
              </w:rPr>
            </w:pPr>
            <w:r>
              <w:rPr>
                <w:rFonts w:cs="Courier New" w:ascii="Arial Narrow" w:hAnsi="Arial Narrow"/>
                <w:b/>
                <w:sz w:val="24"/>
              </w:rPr>
            </w:r>
          </w:p>
        </w:tc>
      </w:tr>
    </w:tbl>
    <w:p>
      <w:pPr>
        <w:pStyle w:val="Caption"/>
        <w:rPr/>
      </w:pPr>
      <w:r/>
      <w:r>
        <w:rPr/>
        <w:t xml:space="preserve">DEMETRICS TYSON </w:t>
      </w:r>
    </w:p>
    <w:p>
      <w:pPr>
        <w:pStyle w:val="Caption"/>
        <w:rPr/>
      </w:pPr>
      <w:r>
        <w:rPr/>
        <w:t xml:space="preserve">ENRON WEEKLY PROGRESS REPORT – November 2. 2001 </w:t>
      </w:r>
    </w:p>
    <w:p>
      <w:pPr>
        <w:pStyle w:val="Normal"/>
        <w:rPr/>
      </w:pPr>
      <w:r>
        <w:rPr/>
      </w:r>
    </w:p>
    <w:p>
      <w:pPr>
        <w:pStyle w:val="Normal"/>
        <w:rPr>
          <w:rFonts w:ascii="Arial Narrow" w:hAnsi="Arial Narrow" w:cs="Courier New"/>
          <w:b/>
          <w:sz w:val="24"/>
        </w:rPr>
      </w:pPr>
      <w:r>
        <w:rPr>
          <w:rFonts w:cs="Courier New" w:ascii="Arial Narrow" w:hAnsi="Arial Narrow"/>
          <w:b/>
          <w:sz w:val="24"/>
        </w:rPr>
      </w:r>
    </w:p>
    <w:p>
      <w:pPr>
        <w:pStyle w:val="Normal"/>
        <w:rPr>
          <w:rFonts w:ascii="Arial Narrow" w:hAnsi="Arial Narrow" w:cs="Courier New"/>
          <w:b/>
          <w:sz w:val="24"/>
        </w:rPr>
      </w:pPr>
      <w:r>
        <w:rPr>
          <w:rFonts w:cs="Courier New" w:ascii="Arial Narrow" w:hAnsi="Arial Narrow"/>
          <w:b/>
          <w:sz w:val="24"/>
        </w:rPr>
      </w:r>
    </w:p>
    <w:p>
      <w:pPr>
        <w:pStyle w:val="Normal"/>
        <w:rPr>
          <w:rFonts w:ascii="Arial Narrow" w:hAnsi="Arial Narrow" w:cs="Courier New"/>
          <w:b/>
          <w:sz w:val="24"/>
        </w:rPr>
      </w:pPr>
      <w:r>
        <w:rPr>
          <w:rFonts w:cs="Courier New" w:ascii="Arial Narrow" w:hAnsi="Arial Narrow"/>
          <w:b/>
          <w:sz w:val="24"/>
        </w:rPr>
        <w:t xml:space="preserve">Agenda for the Week:  </w:t>
      </w:r>
    </w:p>
    <w:p>
      <w:pPr>
        <w:pStyle w:val="Normal"/>
        <w:rPr>
          <w:rFonts w:ascii="Arial Narrow" w:hAnsi="Arial Narrow" w:cs="Courier New"/>
          <w:bCs/>
          <w:sz w:val="24"/>
        </w:rPr>
      </w:pPr>
      <w:r>
        <w:rPr>
          <w:rFonts w:cs="Courier New" w:ascii="Arial Narrow" w:hAnsi="Arial Narrow"/>
          <w:bCs/>
          <w:sz w:val="24"/>
        </w:rPr>
        <w:tab/>
        <w:tab/>
      </w:r>
    </w:p>
    <w:p>
      <w:pPr>
        <w:pStyle w:val="Normal"/>
        <w:numPr>
          <w:ilvl w:val="0"/>
          <w:numId w:val="2"/>
        </w:numPr>
        <w:rPr>
          <w:rFonts w:ascii="Arial Narrow" w:hAnsi="Arial Narrow" w:cs="Courier New"/>
          <w:bCs/>
          <w:sz w:val="24"/>
        </w:rPr>
      </w:pPr>
      <w:r>
        <w:rPr>
          <w:rFonts w:cs="Courier New" w:ascii="Arial Narrow" w:hAnsi="Arial Narrow"/>
          <w:bCs/>
          <w:sz w:val="24"/>
        </w:rPr>
        <w:t>Discuss the business rules</w:t>
      </w:r>
    </w:p>
    <w:p>
      <w:pPr>
        <w:pStyle w:val="Normal"/>
        <w:numPr>
          <w:ilvl w:val="0"/>
          <w:numId w:val="2"/>
        </w:numPr>
        <w:rPr>
          <w:rFonts w:ascii="Arial Narrow" w:hAnsi="Arial Narrow" w:cs="Courier New"/>
          <w:bCs/>
          <w:sz w:val="24"/>
        </w:rPr>
      </w:pPr>
      <w:r>
        <w:rPr>
          <w:rFonts w:cs="Courier New" w:ascii="Arial Narrow" w:hAnsi="Arial Narrow"/>
          <w:bCs/>
          <w:sz w:val="24"/>
        </w:rPr>
        <w:t>Document the changes</w:t>
      </w:r>
    </w:p>
    <w:p>
      <w:pPr>
        <w:pStyle w:val="Normal"/>
        <w:numPr>
          <w:ilvl w:val="0"/>
          <w:numId w:val="2"/>
        </w:numPr>
        <w:rPr>
          <w:rFonts w:ascii="Arial Narrow" w:hAnsi="Arial Narrow" w:cs="Courier New"/>
          <w:bCs/>
          <w:sz w:val="24"/>
        </w:rPr>
      </w:pPr>
      <w:r>
        <w:rPr>
          <w:rFonts w:cs="Courier New" w:ascii="Arial Narrow" w:hAnsi="Arial Narrow"/>
          <w:bCs/>
          <w:sz w:val="24"/>
        </w:rPr>
        <w:t xml:space="preserve">Test the data flow </w:t>
      </w:r>
    </w:p>
    <w:p>
      <w:pPr>
        <w:pStyle w:val="Normal"/>
        <w:numPr>
          <w:ilvl w:val="0"/>
          <w:numId w:val="2"/>
        </w:numPr>
        <w:rPr>
          <w:rFonts w:ascii="Arial Narrow" w:hAnsi="Arial Narrow" w:cs="Courier New"/>
          <w:bCs/>
          <w:sz w:val="24"/>
        </w:rPr>
      </w:pPr>
      <w:r>
        <w:rPr>
          <w:rFonts w:cs="Courier New" w:ascii="Arial Narrow" w:hAnsi="Arial Narrow"/>
          <w:bCs/>
          <w:sz w:val="24"/>
        </w:rPr>
        <w:t>Test application performance for possible improvements</w:t>
      </w:r>
    </w:p>
    <w:p>
      <w:pPr>
        <w:pStyle w:val="Normal"/>
        <w:rPr>
          <w:rFonts w:ascii="Arial Narrow" w:hAnsi="Arial Narrow" w:cs="Courier New"/>
          <w:b/>
          <w:bCs/>
          <w:sz w:val="24"/>
        </w:rPr>
      </w:pPr>
      <w:r>
        <w:rPr>
          <w:rFonts w:cs="Courier New" w:ascii="Arial Narrow" w:hAnsi="Arial Narrow"/>
          <w:b/>
          <w:bCs/>
          <w:sz w:val="24"/>
        </w:rPr>
      </w:r>
    </w:p>
    <w:p>
      <w:pPr>
        <w:pStyle w:val="Normal"/>
        <w:rPr>
          <w:rFonts w:ascii="Arial Narrow" w:hAnsi="Arial Narrow" w:cs="Courier New"/>
          <w:bCs/>
          <w:sz w:val="24"/>
        </w:rPr>
      </w:pPr>
      <w:r>
        <w:rPr>
          <w:rFonts w:cs="Courier New" w:ascii="Arial Narrow" w:hAnsi="Arial Narrow"/>
          <w:b/>
          <w:sz w:val="24"/>
        </w:rPr>
        <w:t>Points:</w:t>
      </w:r>
    </w:p>
    <w:p>
      <w:pPr>
        <w:pStyle w:val="Normal"/>
        <w:rPr>
          <w:rFonts w:ascii="Arial Narrow" w:hAnsi="Arial Narrow" w:cs="Courier New"/>
          <w:b/>
          <w:sz w:val="24"/>
        </w:rPr>
      </w:pPr>
      <w:r>
        <w:rPr>
          <w:rFonts w:cs="Courier New" w:ascii="Arial Narrow" w:hAnsi="Arial Narrow"/>
          <w:b/>
          <w:sz w:val="24"/>
        </w:rPr>
        <w:tab/>
      </w:r>
    </w:p>
    <w:p>
      <w:pPr>
        <w:pStyle w:val="Normal"/>
        <w:ind w:firstLine="720" w:end="0"/>
        <w:rPr>
          <w:rFonts w:ascii="Arial Narrow" w:hAnsi="Arial Narrow" w:cs="Courier New"/>
          <w:bCs/>
          <w:sz w:val="24"/>
        </w:rPr>
      </w:pPr>
      <w:r>
        <w:rPr>
          <w:rFonts w:cs="Courier New" w:ascii="Arial Narrow" w:hAnsi="Arial Narrow"/>
          <w:bCs/>
          <w:sz w:val="24"/>
        </w:rPr>
        <w:t>Business Rules:</w:t>
        <w:tab/>
      </w:r>
    </w:p>
    <w:p>
      <w:pPr>
        <w:pStyle w:val="Normal"/>
        <w:ind w:firstLine="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Before leaving the office on Friday, October 26, 2001, I set the ETS HO Rework Design application on-line for client review.  Because of other matters James Weitekamp was not able to meet with me and discuss the application.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November 1, 2001 James and I met to review the rules of the application. James was in agreement with contributed and loaded data within the model.  There were some differences with the model on what data flowed back into Analyst, the calculation on the data, and the results that are produced.  In order to change the data flow and modify the calculation we need some direction. James will look into this matter and get back with me next week on Monday.</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We have not decided how to display the Headcount Summary Cube. The cube may be displayed in the model, separated from the model, or we may indicate to user to use the Headcount summary cube in the Corp. model.  This issue does not slow us down, but modification will need to be made once a decision is made.</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Documentation:</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We have identified some possible changes in the model.  Once those changes have been agreed upon the model will be updated. </w:t>
      </w:r>
    </w:p>
    <w:p>
      <w:pPr>
        <w:pStyle w:val="Normal"/>
        <w:ind w:start="720" w:end="0"/>
        <w:rPr>
          <w:rFonts w:ascii="Arial Narrow" w:hAnsi="Arial Narrow" w:cs="Courier New"/>
          <w:bCs/>
          <w:sz w:val="24"/>
        </w:rPr>
      </w:pPr>
      <w:r>
        <w:rPr>
          <w:rFonts w:cs="Courier New" w:ascii="Arial Narrow" w:hAnsi="Arial Narrow"/>
          <w:bCs/>
          <w:sz w:val="24"/>
        </w:rPr>
        <w:t>Application Development:</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We have installed an Admin Console on the Development Server.  This will allow us to bypass network connections that may not be reliable.  The contributor application has been created with a dummy node and users list.  During the November 1, 2001 meeting with James, he advised me that he will talk with Mary Botello on Monday about developing an updated nodes and users list.</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From the server we have successfully executed the initialize, publish and data load process (DTS).  The processes are completing in 20% of the time it had been when executed from a client PC.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I had a discussion with James regarding a knowledge transfer. At this time he is not sure if he will be an administrator or not and do not want to get involve time wise with a subject matter that may not be pertinent to him. I discussed and sent an email to James regarding creating a list of nodes and users.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The web application has been placed on on-line and viewable.</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Testing:</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The testing of the data flow and design functionality has been conducted. We loaded data into the Analyst model and contributor model and came back the same results. The data was submitted, rejected and returned to work in process.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Our focus has turned to performance. We are looking at ways to improve the speed of the web-user interface by adjusting the application.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 xml:space="preserve">Demetrics Tyson </w:t>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9:04 AM</w:t>
    </w:r>
    <w:r>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left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jc w:val="both"/>
      <w:outlineLvl w:val="3"/>
    </w:pPr>
    <w:rPr>
      <w:b/>
      <w:bCs/>
      <w:i/>
      <w:iCs/>
      <w:sz w:val="24"/>
    </w:rPr>
  </w:style>
  <w:style w:type="paragraph" w:styleId="Heading5">
    <w:name w:val="heading 5"/>
    <w:basedOn w:val="Normal"/>
    <w:next w:val="Normal"/>
    <w:qFormat/>
    <w:pPr>
      <w:keepNext w:val="true"/>
      <w:numPr>
        <w:ilvl w:val="4"/>
        <w:numId w:val="1"/>
      </w:numPr>
      <w:ind w:firstLine="720" w:start="0" w:end="0"/>
      <w:outlineLvl w:val="4"/>
    </w:pPr>
    <w:rPr>
      <w:sz w:val="24"/>
    </w:rPr>
  </w:style>
  <w:style w:type="paragraph" w:styleId="Heading6">
    <w:name w:val="heading 6"/>
    <w:basedOn w:val="Normal"/>
    <w:next w:val="Normal"/>
    <w:qFormat/>
    <w:pPr>
      <w:keepNext w:val="true"/>
      <w:numPr>
        <w:ilvl w:val="5"/>
        <w:numId w:val="1"/>
      </w:numPr>
      <w:ind w:hanging="0" w:start="1080" w:end="0"/>
      <w:outlineLvl w:val="5"/>
    </w:pPr>
    <w:rPr>
      <w:sz w:val="24"/>
    </w:rPr>
  </w:style>
  <w:style w:type="paragraph" w:styleId="Heading7">
    <w:name w:val="heading 7"/>
    <w:basedOn w:val="Normal"/>
    <w:next w:val="Normal"/>
    <w:qFormat/>
    <w:pPr>
      <w:keepNext w:val="true"/>
      <w:numPr>
        <w:ilvl w:val="6"/>
        <w:numId w:val="1"/>
      </w:numPr>
      <w:outlineLvl w:val="6"/>
    </w:pPr>
    <w:rPr>
      <w:rFonts w:ascii="Arial Narrow" w:hAnsi="Arial Narrow" w:cs="Courier New"/>
      <w:sz w:val="24"/>
    </w:rPr>
  </w:style>
  <w:style w:type="paragraph" w:styleId="Heading8">
    <w:name w:val="heading 8"/>
    <w:basedOn w:val="Normal"/>
    <w:next w:val="Normal"/>
    <w:qFormat/>
    <w:pPr>
      <w:keepNext w:val="true"/>
      <w:numPr>
        <w:ilvl w:val="7"/>
        <w:numId w:val="1"/>
      </w:numPr>
      <w:outlineLvl w:val="7"/>
    </w:pPr>
    <w:rPr>
      <w:rFonts w:ascii="Arial Narrow" w:hAnsi="Arial Narrow" w:cs="Courier New"/>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color w:val="000000"/>
      <w:sz w:val="28"/>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sz w:val="28"/>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6"/>
    </w:rPr>
  </w:style>
  <w:style w:type="character" w:styleId="WW8Num35z1">
    <w:name w:val="WW8Num35z1"/>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000000"/>
      <w:sz w:val="28"/>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next w:val="Normal"/>
    <w:qFormat/>
    <w:pPr/>
    <w:rPr>
      <w:rFonts w:ascii="Arial Narrow" w:hAnsi="Arial Narrow" w:cs="Courier New"/>
      <w:b/>
      <w:bCs/>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FootnoteText">
    <w:name w:val="footnote text"/>
    <w:basedOn w:val="Normal"/>
    <w:pPr>
      <w:jc w:val="end"/>
    </w:pPr>
    <w:rPr>
      <w:rFonts w:ascii="Arial Narrow" w:hAnsi="Arial Narrow" w:cs="Arial Narrow"/>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2001-10-31T18:51:00Z</dcterms:created>
  <dc:creator>Preferred Customer</dc:creator>
  <dc:description>Items CompletedPRESCO PRODUCTS WEEKLY PROGRESS REPORTDetermine timeline for Cost Allocation and Production modules.Complete P&amp;L, B/S, CF, Sales, and Labor modules by 1/25/00.Complete front-end, testing and output reports by 1/26/00.</dc:description>
  <cp:keywords>module josh sale complete cf</cp:keywords>
  <dc:language>en-CA</dc:language>
  <cp:lastModifiedBy>dtyson</cp:lastModifiedBy>
  <dcterms:modified xsi:type="dcterms:W3CDTF">2001-11-06T21:04:00Z</dcterms:modified>
  <cp:revision>32</cp:revision>
  <dc:subject/>
  <dc:title>PRESCO PRODUCTS WEEKLY PROGRESS REPORT</dc:title>
</cp:coreProperties>
</file>