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ENRON – ETS GROUP, WEEKLY PROGRESS REPORT</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898"/>
        <w:gridCol w:w="3006"/>
        <w:gridCol w:w="2952"/>
      </w:tblGrid>
      <w:tr>
        <w:trPr>
          <w:trHeight w:val="440" w:hRule="atLeast"/>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Consultant:</w:t>
            </w:r>
          </w:p>
        </w:tc>
        <w:tc>
          <w:tcPr>
            <w:tcW w:w="3006" w:type="dxa"/>
            <w:tcBorders>
              <w:top w:val="single" w:sz="4" w:space="0" w:color="000000"/>
              <w:start w:val="single" w:sz="4" w:space="0" w:color="000000"/>
              <w:bottom w:val="single" w:sz="4" w:space="0" w:color="000000"/>
              <w:end w:val="single" w:sz="4" w:space="0" w:color="000000"/>
            </w:tcBorders>
          </w:tcPr>
          <w:p>
            <w:pPr>
              <w:pStyle w:val="Normal"/>
              <w:rPr/>
            </w:pPr>
            <w:r>
              <w:rPr/>
              <w:t>Hoang Vo</w:t>
            </w:r>
          </w:p>
          <w:p>
            <w:pPr>
              <w:pStyle w:val="Normal"/>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b/>
              </w:rPr>
              <w:t>Consulting Period:</w:t>
            </w:r>
            <w:r>
              <w:rPr/>
              <w:t xml:space="preserve"> 21 Oct, 2001 through 27 Oct, 2001</w:t>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Contact Name:</w:t>
            </w:r>
          </w:p>
        </w:tc>
        <w:tc>
          <w:tcPr>
            <w:tcW w:w="3006"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Tracy Geaccone</w:t>
            </w:r>
          </w:p>
          <w:p>
            <w:pPr>
              <w:pStyle w:val="Normal"/>
              <w:rPr>
                <w:color w:val="000000"/>
              </w:rPr>
            </w:pPr>
            <w:r>
              <w:rPr>
                <w:color w:val="000000"/>
              </w:rPr>
            </w:r>
          </w:p>
        </w:tc>
        <w:tc>
          <w:tcPr>
            <w:tcW w:w="2952" w:type="dxa"/>
            <w:tcBorders/>
            <w:tcMar>
              <w:start w:w="0" w:type="dxa"/>
              <w:end w:w="0" w:type="dxa"/>
            </w:tcMar>
          </w:tcPr>
          <w:p>
            <w:pPr>
              <w:pStyle w:val="Normal"/>
              <w:snapToGrid w:val="false"/>
              <w:rPr/>
            </w:pPr>
            <w:r>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Address:</w:t>
            </w:r>
          </w:p>
        </w:tc>
        <w:tc>
          <w:tcPr>
            <w:tcW w:w="3006"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Enron – ETS Group</w:t>
            </w:r>
          </w:p>
          <w:p>
            <w:pPr>
              <w:pStyle w:val="BodyText"/>
              <w:rPr>
                <w:rFonts w:ascii="Times New Roman" w:hAnsi="Times New Roman" w:cs="Times New Roman"/>
              </w:rPr>
            </w:pPr>
            <w:r>
              <w:rPr>
                <w:rFonts w:cs="Times New Roman" w:ascii="Times New Roman" w:hAnsi="Times New Roman"/>
              </w:rPr>
              <w:t>1400 Smith Street,</w:t>
            </w:r>
          </w:p>
          <w:p>
            <w:pPr>
              <w:pStyle w:val="BodyText"/>
              <w:rPr>
                <w:rFonts w:ascii="Times New Roman" w:hAnsi="Times New Roman" w:cs="Times New Roman"/>
              </w:rPr>
            </w:pPr>
            <w:r>
              <w:rPr>
                <w:rFonts w:cs="Times New Roman" w:ascii="Times New Roman" w:hAnsi="Times New Roman"/>
              </w:rPr>
              <w:t>Houston, Tx 77002</w:t>
            </w:r>
          </w:p>
        </w:tc>
        <w:tc>
          <w:tcPr>
            <w:tcW w:w="2952" w:type="dxa"/>
            <w:tcBorders/>
            <w:tcMar>
              <w:start w:w="0" w:type="dxa"/>
              <w:end w:w="0" w:type="dxa"/>
            </w:tcMar>
          </w:tcPr>
          <w:p>
            <w:pPr>
              <w:pStyle w:val="Normal"/>
              <w:snapToGrid w:val="false"/>
              <w:rPr>
                <w:rFonts w:ascii="Times New Roman" w:hAnsi="Times New Roman" w:cs="Times New Roman"/>
              </w:rPr>
            </w:pPr>
            <w:r>
              <w:rPr>
                <w:rFonts w:cs="Times New Roman"/>
              </w:rPr>
            </w:r>
          </w:p>
        </w:tc>
      </w:tr>
      <w:tr>
        <w:trPr/>
        <w:tc>
          <w:tcPr>
            <w:tcW w:w="2898" w:type="dxa"/>
            <w:tcBorders>
              <w:top w:val="single" w:sz="4" w:space="0" w:color="000000"/>
              <w:start w:val="single" w:sz="4" w:space="0" w:color="000000"/>
              <w:bottom w:val="single" w:sz="4" w:space="0" w:color="000000"/>
              <w:end w:val="single" w:sz="4" w:space="0" w:color="000000"/>
            </w:tcBorders>
          </w:tcPr>
          <w:p>
            <w:pPr>
              <w:pStyle w:val="Normal"/>
              <w:rPr>
                <w:b/>
              </w:rPr>
            </w:pPr>
            <w:r>
              <w:rPr>
                <w:b/>
              </w:rPr>
              <w:t>Phone:</w:t>
            </w:r>
          </w:p>
        </w:tc>
        <w:tc>
          <w:tcPr>
            <w:tcW w:w="3006" w:type="dxa"/>
            <w:tcBorders>
              <w:top w:val="single" w:sz="4" w:space="0" w:color="000000"/>
              <w:start w:val="single" w:sz="4" w:space="0" w:color="000000"/>
              <w:bottom w:val="single" w:sz="4" w:space="0" w:color="000000"/>
              <w:end w:val="single" w:sz="4" w:space="0" w:color="000000"/>
            </w:tcBorders>
          </w:tcPr>
          <w:p>
            <w:pPr>
              <w:pStyle w:val="Normal"/>
              <w:rPr/>
            </w:pPr>
            <w:r>
              <w:rPr/>
              <w:t>713-853-7372</w:t>
            </w:r>
          </w:p>
        </w:tc>
        <w:tc>
          <w:tcPr>
            <w:tcW w:w="2952" w:type="dxa"/>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b/>
          <w:i/>
          <w:i/>
          <w:sz w:val="24"/>
          <w:u w:val="single"/>
        </w:rPr>
      </w:pPr>
      <w:r>
        <w:rPr>
          <w:b/>
          <w:i/>
          <w:sz w:val="24"/>
          <w:u w:val="single"/>
        </w:rPr>
        <w:t>Agenda for the Week:</w:t>
      </w:r>
    </w:p>
    <w:p>
      <w:pPr>
        <w:pStyle w:val="Normal"/>
        <w:rPr>
          <w:b/>
          <w:i/>
          <w:i/>
          <w:sz w:val="24"/>
          <w:u w:val="single"/>
        </w:rPr>
      </w:pPr>
      <w:r>
        <w:rPr>
          <w:b/>
          <w:i/>
          <w:sz w:val="24"/>
          <w:u w:val="single"/>
        </w:rPr>
      </w:r>
    </w:p>
    <w:p>
      <w:pPr>
        <w:pStyle w:val="Normal"/>
        <w:numPr>
          <w:ilvl w:val="0"/>
          <w:numId w:val="2"/>
        </w:numPr>
        <w:rPr>
          <w:sz w:val="24"/>
        </w:rPr>
      </w:pPr>
      <w:r>
        <w:rPr>
          <w:sz w:val="24"/>
        </w:rPr>
        <w:t>Completed maintenance updates to Operations O&amp;M model.</w:t>
      </w:r>
    </w:p>
    <w:p>
      <w:pPr>
        <w:pStyle w:val="Normal"/>
        <w:rPr>
          <w:sz w:val="24"/>
        </w:rPr>
      </w:pPr>
      <w:r>
        <w:rPr>
          <w:sz w:val="24"/>
        </w:rPr>
      </w:r>
    </w:p>
    <w:p>
      <w:pPr>
        <w:pStyle w:val="Normal"/>
        <w:rPr>
          <w:sz w:val="24"/>
        </w:rPr>
      </w:pPr>
      <w:r>
        <w:rPr>
          <w:sz w:val="24"/>
        </w:rPr>
      </w:r>
    </w:p>
    <w:p>
      <w:pPr>
        <w:pStyle w:val="Heading3"/>
        <w:ind w:hanging="0" w:start="0"/>
        <w:rPr>
          <w:u w:val="single"/>
        </w:rPr>
      </w:pPr>
      <w:r>
        <w:rPr>
          <w:u w:val="single"/>
        </w:rPr>
        <w:t>Items Completed</w:t>
      </w:r>
    </w:p>
    <w:p>
      <w:pPr>
        <w:pStyle w:val="Normal"/>
        <w:rPr>
          <w:sz w:val="24"/>
          <w:u w:val="single"/>
        </w:rPr>
      </w:pPr>
      <w:r>
        <w:rPr>
          <w:sz w:val="24"/>
          <w:u w:val="single"/>
        </w:rPr>
      </w:r>
    </w:p>
    <w:p>
      <w:pPr>
        <w:pStyle w:val="Normal"/>
        <w:numPr>
          <w:ilvl w:val="0"/>
          <w:numId w:val="2"/>
        </w:numPr>
        <w:rPr>
          <w:sz w:val="24"/>
        </w:rPr>
      </w:pPr>
      <w:r>
        <w:rPr>
          <w:sz w:val="24"/>
        </w:rPr>
        <w:t>Truncated transaction logs on database servers.</w:t>
      </w:r>
    </w:p>
    <w:p>
      <w:pPr>
        <w:pStyle w:val="Normal"/>
        <w:numPr>
          <w:ilvl w:val="0"/>
          <w:numId w:val="2"/>
        </w:numPr>
        <w:rPr>
          <w:sz w:val="24"/>
        </w:rPr>
      </w:pPr>
      <w:r>
        <w:rPr>
          <w:sz w:val="24"/>
        </w:rPr>
        <w:t>Completed minor changes to Functional Income Statement enhancements requested by James and Steve.</w:t>
      </w:r>
    </w:p>
    <w:p>
      <w:pPr>
        <w:pStyle w:val="Normal"/>
        <w:numPr>
          <w:ilvl w:val="0"/>
          <w:numId w:val="2"/>
        </w:numPr>
        <w:rPr>
          <w:sz w:val="24"/>
        </w:rPr>
      </w:pPr>
      <w:r>
        <w:rPr>
          <w:sz w:val="24"/>
        </w:rPr>
        <w:t>Continued to make node and employee updates to Operations applications.</w:t>
      </w:r>
    </w:p>
    <w:p>
      <w:pPr>
        <w:pStyle w:val="Normal"/>
        <w:rPr>
          <w:sz w:val="24"/>
        </w:rPr>
      </w:pPr>
      <w:r>
        <w:rPr>
          <w:sz w:val="24"/>
        </w:rPr>
      </w:r>
    </w:p>
    <w:p>
      <w:pPr>
        <w:pStyle w:val="Normal"/>
        <w:rPr/>
      </w:pPr>
      <w:r>
        <w:rPr/>
      </w:r>
    </w:p>
    <w:p>
      <w:pPr>
        <w:pStyle w:val="Heading2"/>
        <w:ind w:hanging="0" w:start="0"/>
        <w:rPr>
          <w:sz w:val="24"/>
          <w:u w:val="single"/>
        </w:rPr>
      </w:pPr>
      <w:r>
        <w:rPr>
          <w:sz w:val="24"/>
          <w:u w:val="single"/>
        </w:rPr>
        <w:t>Agenda for the next Week</w:t>
      </w:r>
    </w:p>
    <w:p>
      <w:pPr>
        <w:pStyle w:val="Normal"/>
        <w:rPr>
          <w:sz w:val="24"/>
          <w:u w:val="single"/>
        </w:rPr>
      </w:pPr>
      <w:r>
        <w:rPr>
          <w:sz w:val="24"/>
          <w:u w:val="single"/>
        </w:rPr>
      </w:r>
    </w:p>
    <w:p>
      <w:pPr>
        <w:pStyle w:val="Normal"/>
        <w:numPr>
          <w:ilvl w:val="0"/>
          <w:numId w:val="2"/>
        </w:numPr>
        <w:rPr>
          <w:sz w:val="24"/>
        </w:rPr>
      </w:pPr>
      <w:r>
        <w:rPr>
          <w:sz w:val="24"/>
        </w:rPr>
        <w:t>Complete maintenance updates to Operations Applications.</w:t>
      </w:r>
    </w:p>
    <w:p>
      <w:pPr>
        <w:pStyle w:val="Normal"/>
        <w:rPr>
          <w:sz w:val="24"/>
        </w:rPr>
      </w:pPr>
      <w:r>
        <w:rPr>
          <w:sz w:val="24"/>
        </w:rPr>
      </w:r>
    </w:p>
    <w:p>
      <w:pPr>
        <w:pStyle w:val="Heading4"/>
        <w:ind w:hanging="0" w:start="0"/>
        <w:rPr/>
      </w:pPr>
      <w:r>
        <w:rPr/>
        <w:t>Issues</w:t>
      </w:r>
    </w:p>
    <w:p>
      <w:pPr>
        <w:pStyle w:val="Normal"/>
        <w:rPr>
          <w:sz w:val="24"/>
        </w:rPr>
      </w:pPr>
      <w:r>
        <w:rPr>
          <w:sz w:val="24"/>
        </w:rPr>
      </w:r>
    </w:p>
    <w:p>
      <w:pPr>
        <w:pStyle w:val="Normal"/>
        <w:rPr>
          <w:sz w:val="24"/>
        </w:rPr>
      </w:pPr>
      <w:r>
        <w:rPr>
          <w:sz w:val="24"/>
        </w:rPr>
        <w:t>The database sever was down for two days due to resource issues.  The transaction logs created during the synchronization process for each application filled up the hard drives on the server.  The transaction logs where backed up to tape and the logs where truncated.</w:t>
      </w:r>
    </w:p>
    <w:sectPr>
      <w:type w:val="nextPage"/>
      <w:pgSz w:w="12240" w:h="15840"/>
      <w:pgMar w:left="1800" w:right="1800" w:gutter="0" w:header="0" w:top="99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outlineLvl w:val="3"/>
    </w:pPr>
    <w:rPr>
      <w:b/>
      <w:bCs/>
      <w:i/>
      <w:iCs/>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2">
    <w:name w:val="WW8Num22z2"/>
    <w:qFormat/>
    <w:rPr>
      <w:rFonts w:ascii="Wingdings" w:hAnsi="Wingdings" w:cs="Wingdings"/>
    </w:rPr>
  </w:style>
  <w:style w:type="character" w:styleId="WW8Num22z4">
    <w:name w:val="WW8Num22z4"/>
    <w:qFormat/>
    <w:rPr>
      <w:rFonts w:ascii="Courier New" w:hAnsi="Courier New" w:cs="Courier New"/>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ind w:hanging="0" w:start="360" w:end="0"/>
    </w:pPr>
    <w:rPr>
      <w:sz w:val="24"/>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2001-10-23T13:15:00Z</dcterms:created>
  <dc:creator>Riaz Fatehi</dc:creator>
  <dc:description/>
  <cp:keywords>Progress Report</cp:keywords>
  <dc:language>en-CA</dc:language>
  <cp:lastModifiedBy>hvo</cp:lastModifiedBy>
  <dcterms:modified xsi:type="dcterms:W3CDTF">2001-10-29T13:34:00Z</dcterms:modified>
  <cp:revision>4</cp:revision>
  <dc:subject/>
  <dc:title>WEEKLY PROGRESS REPORT</dc:title>
</cp:coreProperties>
</file>