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3.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ind w:start="1440" w:end="0"/>
        <w:jc w:val="start"/>
        <w:outlineLvl w:val="0"/>
        <w:rPr>
          <w:color w:val="800080"/>
        </w:rPr>
      </w:pPr>
      <w:r>
        <w:rPr>
          <w:color w:val="800080"/>
        </w:rPr>
        <w:t xml:space="preserve">   </w:t>
      </w:r>
      <w:r>
        <w:rPr>
          <w:color w:val="800080"/>
        </w:rPr>
        <w:t xml:space="preserve">Posting Plus Option Valuation </w:t>
      </w:r>
    </w:p>
    <w:p>
      <w:pPr>
        <w:pStyle w:val="Hidden"/>
        <w:rPr/>
      </w:pPr>
      <w:r>
        <w:rPr/>
        <w:t>Change ‘Project Name’ amending ‘Project Title’ using File/Properties menu. This will reflect in the footer too</w:t>
      </w:r>
    </w:p>
    <w:p>
      <w:pPr>
        <w:pStyle w:val="Normal"/>
        <w:jc w:val="center"/>
        <w:rPr>
          <w:rFonts w:ascii="Arial" w:hAnsi="Arial" w:cs="Arial"/>
          <w:sz w:val="36"/>
        </w:rPr>
      </w:pPr>
      <w:r>
        <mc:AlternateContent>
          <mc:Choice Requires="wps">
            <w:drawing>
              <wp:anchor behindDoc="0" distT="0" distB="0" distL="114935" distR="114935" simplePos="0" locked="0" layoutInCell="1" allowOverlap="1" relativeHeight="4">
                <wp:simplePos x="0" y="0"/>
                <wp:positionH relativeFrom="column">
                  <wp:posOffset>5211445</wp:posOffset>
                </wp:positionH>
                <wp:positionV relativeFrom="paragraph">
                  <wp:posOffset>175895</wp:posOffset>
                </wp:positionV>
                <wp:extent cx="4514215" cy="5888355"/>
                <wp:effectExtent l="0" t="0" r="0" b="0"/>
                <wp:wrapNone/>
                <wp:docPr id="1" name=""/>
                <a:graphic xmlns:a="http://schemas.openxmlformats.org/drawingml/2006/main">
                  <a:graphicData uri="http://schemas.microsoft.com/office/word/2010/wordprocessingShape">
                    <wps:wsp>
                      <wps:cNvSpPr txBox="1"/>
                      <wps:spPr>
                        <a:xfrm rot="10800000">
                          <a:off x="0" y="0"/>
                          <a:ext cx="4514040" cy="5888520"/>
                        </a:xfrm>
                        <a:prstGeom prst="rect">
                          <a:avLst/>
                        </a:prstGeom>
                        <a:noFill/>
                        <a:ln w="0">
                          <a:noFill/>
                        </a:ln>
                      </wps:spPr>
                      <wps:txbx>
                        <w:txbxContent>
                          <w:p>
                            <w:pPr>
                              <w:overflowPunct w:val="false"/>
                              <w:bidi w:val="0"/>
                              <w:rPr/>
                            </w:pPr>
                            <w:r>
                              <w:rPr>
                                <w:kern w:val="2"/>
                                <w:sz w:val="72"/>
                                <w:szCs w:val="20"/>
                                <w:rFonts w:ascii="Arial" w:hAnsi="Arial" w:eastAsia="Times New Roman" w:cs="Arial"/>
                                <w:color w:val="808080"/>
                                <w:lang w:val="en-GB" w:bidi="ar-SA"/>
                              </w:rPr>
                              <w:t>Discussion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13.85pt;width:355.4pt;height:463.6pt;mso-wrap-style:none;v-text-anchor:middle;rotation:180" type="_x0000_t202">
                <v:textbox>
                  <w:txbxContent>
                    <w:p>
                      <w:pPr>
                        <w:overflowPunct w:val="false"/>
                        <w:bidi w:val="0"/>
                        <w:rPr/>
                      </w:pPr>
                      <w:r>
                        <w:rPr>
                          <w:kern w:val="2"/>
                          <w:sz w:val="72"/>
                          <w:szCs w:val="20"/>
                          <w:rFonts w:ascii="Arial" w:hAnsi="Arial" w:eastAsia="Times New Roman" w:cs="Arial"/>
                          <w:color w:val="808080"/>
                          <w:lang w:val="en-GB" w:bidi="ar-SA"/>
                        </w:rPr>
                        <w:t>Discussion Document</w:t>
                      </w:r>
                    </w:p>
                  </w:txbxContent>
                </v:textbox>
                <v:fill o:detectmouseclick="t" on="false"/>
                <v:stroke color="#3465a4" joinstyle="round" endcap="flat"/>
                <w10:wrap type="none"/>
              </v:shape>
            </w:pict>
          </mc:Fallback>
        </mc:AlternateContent>
      </w:r>
      <w:r>
        <w:rPr>
          <w:rFonts w:cs="Arial" w:ascii="Arial" w:hAnsi="Arial"/>
          <w:sz w:val="36"/>
        </w:rPr>
        <w:t>Discussion Document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sz w:val="48"/>
        </w:rPr>
      </w:pPr>
      <w:r>
        <w:rPr/>
        <w:drawing>
          <wp:inline distT="0" distB="0" distL="0" distR="0">
            <wp:extent cx="2188210" cy="219456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39" t="-39" r="-39" b="-39"/>
                    <a:stretch>
                      <a:fillRect/>
                    </a:stretch>
                  </pic:blipFill>
                  <pic:spPr bwMode="auto">
                    <a:xfrm>
                      <a:off x="0" y="0"/>
                      <a:ext cx="2188210" cy="2194560"/>
                    </a:xfrm>
                    <a:prstGeom prst="rect">
                      <a:avLst/>
                    </a:prstGeom>
                    <a:noFill/>
                  </pic:spPr>
                </pic:pic>
              </a:graphicData>
            </a:graphic>
          </wp:inline>
        </w:drawing>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rPr>
      </w:pPr>
      <w:r>
        <w:rPr>
          <w:rFonts w:cs="Arial" w:ascii="Arial" w:hAnsi="Arial"/>
        </w:rPr>
      </w:r>
    </w:p>
    <w:p>
      <w:pPr>
        <w:pStyle w:val="Normal"/>
        <w:rPr>
          <w:i/>
          <w:i/>
        </w:rPr>
      </w:pPr>
      <w:r>
        <w:rPr>
          <w:i/>
        </w:rPr>
        <w:t>On behalf of</w:t>
      </w:r>
    </w:p>
    <w:p>
      <w:pPr>
        <w:pStyle w:val="Normal"/>
        <w:rPr>
          <w:sz w:val="40"/>
        </w:rPr>
      </w:pPr>
      <w:r>
        <w:rPr>
          <w:sz w:val="40"/>
        </w:rPr>
        <w:t>Enron Global Markets</w:t>
      </w:r>
    </w:p>
    <w:p>
      <w:pPr>
        <w:pStyle w:val="FootnoteText"/>
        <w:rPr>
          <w:i/>
          <w:i/>
        </w:rPr>
      </w:pPr>
      <w:r>
        <w:rPr>
          <w:i/>
        </w:rPr>
        <w:t>Research Group</w:t>
      </w:r>
    </w:p>
    <w:p>
      <w:pPr>
        <w:pStyle w:val="Normal"/>
        <w:rPr>
          <w:i/>
          <w:i/>
        </w:rPr>
      </w:pPr>
      <w:r>
        <w:rPr>
          <w:i/>
        </w:rPr>
      </w:r>
    </w:p>
    <w:p>
      <w:pPr>
        <w:pStyle w:val="Normal"/>
        <w:rPr/>
      </w:pPr>
      <w:r>
        <w:rPr/>
      </w:r>
    </w:p>
    <w:p>
      <w:pPr>
        <w:pStyle w:val="Normal"/>
        <w:rPr/>
      </w:pPr>
      <w:r>
        <w:rPr/>
      </w:r>
    </w:p>
    <w:tbl>
      <w:tblPr>
        <w:tblW w:w="7655" w:type="dxa"/>
        <w:jc w:val="start"/>
        <w:tblInd w:w="108" w:type="dxa"/>
        <w:tblLayout w:type="fixed"/>
        <w:tblCellMar>
          <w:top w:w="0" w:type="dxa"/>
          <w:start w:w="108" w:type="dxa"/>
          <w:bottom w:w="0" w:type="dxa"/>
          <w:end w:w="108" w:type="dxa"/>
        </w:tblCellMar>
      </w:tblPr>
      <w:tblGrid>
        <w:gridCol w:w="2552"/>
        <w:gridCol w:w="5103"/>
      </w:tblGrid>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Project Code:</w:t>
            </w:r>
          </w:p>
        </w:tc>
        <w:tc>
          <w:tcPr>
            <w:tcW w:w="5103" w:type="dxa"/>
            <w:tcBorders>
              <w:top w:val="single" w:sz="6" w:space="0" w:color="000000"/>
              <w:bottom w:val="single" w:sz="6" w:space="0" w:color="000000"/>
              <w:end w:val="single" w:sz="6" w:space="0" w:color="000000"/>
            </w:tcBorders>
          </w:tcPr>
          <w:p>
            <w:pPr>
              <w:pStyle w:val="Hidden"/>
              <w:snapToGrid w:val="false"/>
              <w:rPr/>
            </w:pPr>
            <w:r>
              <w:rPr/>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Document Classification:</w:t>
            </w:r>
          </w:p>
        </w:tc>
        <w:tc>
          <w:tcPr>
            <w:tcW w:w="5103" w:type="dxa"/>
            <w:tcBorders>
              <w:top w:val="single" w:sz="6" w:space="0" w:color="000000"/>
              <w:bottom w:val="single" w:sz="6" w:space="0" w:color="000000"/>
              <w:end w:val="single" w:sz="6" w:space="0" w:color="000000"/>
            </w:tcBorders>
          </w:tcPr>
          <w:p>
            <w:pPr>
              <w:pStyle w:val="Normal"/>
              <w:rPr/>
            </w:pPr>
            <w:r>
              <w:rPr/>
              <w:t>Draft</w:t>
            </w:r>
            <w:r>
              <w:rPr>
                <w:vanish/>
              </w:rPr>
              <w:t xml:space="preserve"> / Released</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Version:</w:t>
            </w:r>
          </w:p>
        </w:tc>
        <w:tc>
          <w:tcPr>
            <w:tcW w:w="5103" w:type="dxa"/>
            <w:tcBorders>
              <w:top w:val="single" w:sz="6" w:space="0" w:color="000000"/>
              <w:bottom w:val="single" w:sz="6" w:space="0" w:color="000000"/>
              <w:end w:val="single" w:sz="6" w:space="0" w:color="000000"/>
            </w:tcBorders>
          </w:tcPr>
          <w:p>
            <w:pPr>
              <w:pStyle w:val="Normal"/>
              <w:jc w:val="both"/>
              <w:rPr>
                <w:i/>
                <w:i/>
              </w:rPr>
            </w:pPr>
            <w:r>
              <w:rPr>
                <w:i/>
              </w:rPr>
              <w:t>1.00</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Filename:</w:t>
            </w:r>
          </w:p>
        </w:tc>
        <w:tc>
          <w:tcPr>
            <w:tcW w:w="5103" w:type="dxa"/>
            <w:tcBorders>
              <w:top w:val="single" w:sz="6" w:space="0" w:color="000000"/>
              <w:bottom w:val="single" w:sz="6" w:space="0" w:color="000000"/>
              <w:end w:val="single" w:sz="6" w:space="0" w:color="000000"/>
            </w:tcBorders>
          </w:tcPr>
          <w:p>
            <w:pPr>
              <w:pStyle w:val="Normal"/>
              <w:jc w:val="both"/>
              <w:rPr>
                <w:i/>
                <w:i/>
                <w:color w:val="800080"/>
              </w:rPr>
            </w:pPr>
            <w:r>
              <w:rPr>
                <w:i/>
                <w:color w:val="800080"/>
              </w:rPr>
              <w:t>O:\Research\ProjDoc\PPlus.doc</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Prepared by:</w:t>
            </w:r>
          </w:p>
        </w:tc>
        <w:tc>
          <w:tcPr>
            <w:tcW w:w="5103" w:type="dxa"/>
            <w:tcBorders>
              <w:top w:val="single" w:sz="6" w:space="0" w:color="000000"/>
              <w:bottom w:val="single" w:sz="6" w:space="0" w:color="000000"/>
              <w:end w:val="single" w:sz="6" w:space="0" w:color="000000"/>
            </w:tcBorders>
          </w:tcPr>
          <w:p>
            <w:pPr>
              <w:pStyle w:val="Custom2"/>
              <w:rPr>
                <w:rFonts w:ascii="Times New Roman" w:hAnsi="Times New Roman" w:cs="Times New Roman"/>
              </w:rPr>
            </w:pPr>
            <w:r>
              <w:rPr>
                <w:rFonts w:cs="Times New Roman" w:ascii="Times New Roman" w:hAnsi="Times New Roman"/>
              </w:rPr>
              <w:t>Stinson Gibner , Research Group</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Date:</w:t>
            </w:r>
          </w:p>
        </w:tc>
        <w:tc>
          <w:tcPr>
            <w:tcW w:w="5103" w:type="dxa"/>
            <w:tcBorders>
              <w:top w:val="single" w:sz="6" w:space="0" w:color="000000"/>
              <w:bottom w:val="single" w:sz="6" w:space="0" w:color="000000"/>
              <w:end w:val="single" w:sz="6" w:space="0" w:color="000000"/>
            </w:tcBorders>
          </w:tcPr>
          <w:p>
            <w:pPr>
              <w:pStyle w:val="Normal"/>
              <w:rPr>
                <w:color w:val="800080"/>
              </w:rPr>
            </w:pPr>
            <w:r>
              <w:rPr>
                <w:color w:val="800080"/>
              </w:rPr>
              <w:t>7-Mar-01</w:t>
            </w:r>
          </w:p>
          <w:p>
            <w:pPr>
              <w:pStyle w:val="Normal"/>
              <w:rPr>
                <w:color w:val="800080"/>
              </w:rPr>
            </w:pPr>
            <w:r>
              <w:rPr>
                <w:i/>
                <w:vanish/>
                <w:color w:val="FF0000"/>
              </w:rPr>
              <w:t>Use Right-click / Update field to get Date updated</w:t>
            </w:r>
          </w:p>
        </w:tc>
      </w:tr>
    </w:tbl>
    <w:p>
      <w:pPr>
        <w:sectPr>
          <w:headerReference w:type="default" r:id="rId3"/>
          <w:headerReference w:type="first" r:id="rId4"/>
          <w:footerReference w:type="default" r:id="rId5"/>
          <w:footerReference w:type="first" r:id="rId6"/>
          <w:type w:val="nextPage"/>
          <w:pgSz w:w="11906" w:h="16838"/>
          <w:pgMar w:left="1440" w:right="1440" w:gutter="0" w:header="720" w:top="1440" w:footer="720" w:bottom="776"/>
          <w:pgNumType w:fmt="decimal"/>
          <w:formProt w:val="false"/>
          <w:titlePg/>
          <w:textDirection w:val="lrTb"/>
          <w:docGrid w:type="default" w:linePitch="360" w:charSpace="0"/>
        </w:sectPr>
        <w:pStyle w:val="Normal"/>
        <w:rPr/>
      </w:pPr>
      <w:r>
        <w:rPr/>
      </w:r>
    </w:p>
    <w:p>
      <w:pPr>
        <w:pStyle w:val="Normal"/>
        <w:jc w:val="center"/>
        <w:rPr>
          <w:b/>
          <w:sz w:val="28"/>
          <w:u w:val="single"/>
        </w:rPr>
      </w:pPr>
      <w:r>
        <w:rPr>
          <w:b/>
          <w:sz w:val="28"/>
          <w:u w:val="single"/>
        </w:rPr>
      </w:r>
    </w:p>
    <w:p>
      <w:pPr>
        <w:pStyle w:val="Normal"/>
        <w:jc w:val="center"/>
        <w:rPr>
          <w:b/>
          <w:sz w:val="28"/>
          <w:u w:val="single"/>
        </w:rPr>
      </w:pPr>
      <w:r>
        <w:rPr>
          <w:b/>
          <w:sz w:val="28"/>
          <w:u w:val="single"/>
        </w:rPr>
        <w:t>Sign off</w:t>
      </w:r>
    </w:p>
    <w:p>
      <w:pPr>
        <w:pStyle w:val="Normal"/>
        <w:rPr>
          <w:b/>
          <w:sz w:val="28"/>
          <w:u w:val="single"/>
        </w:rPr>
      </w:pPr>
      <w:r>
        <w:rPr>
          <w:b/>
          <w:sz w:val="28"/>
          <w:u w:val="single"/>
        </w:rPr>
      </w:r>
    </w:p>
    <w:p>
      <w:pPr>
        <w:pStyle w:val="Normal"/>
        <w:rPr/>
      </w:pPr>
      <w:r>
        <w:rPr/>
      </w:r>
    </w:p>
    <w:p>
      <w:pPr>
        <w:pStyle w:val="BodyTextIndent"/>
        <w:ind w:start="0" w:end="0"/>
        <w:jc w:val="both"/>
        <w:rPr/>
      </w:pPr>
      <w:r>
        <w:rPr/>
        <w:t>The signatories agree with the definitions, processes and recommendations stated in this document and agree for the next phase to begin based on this document.</w:t>
      </w:r>
    </w:p>
    <w:p>
      <w:pPr>
        <w:pStyle w:val="Normal"/>
        <w:rPr/>
      </w:pPr>
      <w:r>
        <w:rPr/>
      </w:r>
    </w:p>
    <w:p>
      <w:pPr>
        <w:pStyle w:val="BodyTextIndent"/>
        <w:jc w:val="both"/>
        <w:rPr/>
      </w:pPr>
      <w:r>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Business Sponsor(s)</w:t>
      </w:r>
      <w:r>
        <w:rPr/>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i/>
          <w:i/>
        </w:rPr>
      </w:pPr>
      <w:r>
        <w:rPr>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pPr>
      <w:r>
        <w:rPr/>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i/>
          <w:i/>
        </w:rPr>
      </w:pPr>
      <w:r>
        <w:rPr>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t>Research Sponsor</w:t>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b/>
        </w:rPr>
      </w:pPr>
      <w:r>
        <w:rPr>
          <w:b/>
        </w:rPr>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pPr>
      <w:r>
        <w:rPr/>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pPr>
      <w:r>
        <w:rPr/>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i/>
          <w:i/>
        </w:rPr>
      </w:pPr>
      <w:r>
        <w:rPr>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Normal"/>
        <w:rPr>
          <w:b/>
        </w:rPr>
      </w:pPr>
      <w:r>
        <w:rPr>
          <w:b/>
        </w:rPr>
      </w:r>
      <w:r>
        <w:br w:type="page"/>
      </w:r>
    </w:p>
    <w:p>
      <w:pPr>
        <w:pStyle w:val="Heading"/>
        <w:numPr>
          <w:ilvl w:val="0"/>
          <w:numId w:val="0"/>
        </w:numPr>
        <w:outlineLvl w:val="0"/>
        <w:rPr/>
      </w:pPr>
      <w:r>
        <w:rPr/>
        <w:t>Contents</w:t>
      </w:r>
    </w:p>
    <w:sdt>
      <w:sdtPr>
        <w:docPartObj>
          <w:docPartGallery w:val="Table of Contents"/>
          <w:docPartUnique w:val="true"/>
        </w:docPartObj>
      </w:sdtPr>
      <w:sdtContent>
        <w:p>
          <w:pPr>
            <w:pStyle w:val="TOC1"/>
            <w:tabs>
              <w:tab w:val="left" w:pos="360" w:leader="none"/>
              <w:tab w:val="left" w:pos="480" w:leader="none"/>
            </w:tabs>
            <w:rPr/>
          </w:pPr>
          <w:r>
            <w:fldChar w:fldCharType="begin"/>
          </w:r>
          <w:r>
            <w:rPr>
              <w:szCs w:val="28"/>
            </w:rPr>
            <w:instrText xml:space="preserve"> TOC \o "1-4" </w:instrText>
          </w:r>
          <w:r>
            <w:rPr>
              <w:szCs w:val="28"/>
            </w:rPr>
            <w:fldChar w:fldCharType="separate"/>
          </w:r>
          <w:r>
            <w:rPr>
              <w:szCs w:val="28"/>
            </w:rPr>
            <w:t>1</w:t>
          </w:r>
          <w:r>
            <w:rPr/>
            <w:tab/>
          </w:r>
          <w:r>
            <w:rPr>
              <w:szCs w:val="28"/>
            </w:rPr>
            <w:t>Introduction</w:t>
          </w:r>
          <w:r>
            <w:rPr/>
            <w:tab/>
          </w:r>
          <w:hyperlink w:anchor="__RefHeading___Toc508684100">
            <w:r>
              <w:rPr>
                <w:rStyle w:val="IndexLink"/>
              </w:rPr>
              <w:t>4</w:t>
            </w:r>
          </w:hyperlink>
        </w:p>
        <w:p>
          <w:pPr>
            <w:pStyle w:val="TOC1"/>
            <w:tabs>
              <w:tab w:val="left" w:pos="360" w:leader="none"/>
              <w:tab w:val="left" w:pos="480" w:leader="none"/>
            </w:tabs>
            <w:rPr/>
          </w:pPr>
          <w:r>
            <w:rPr>
              <w:szCs w:val="28"/>
            </w:rPr>
            <w:t>2</w:t>
          </w:r>
          <w:r>
            <w:rPr/>
            <w:tab/>
          </w:r>
          <w:r>
            <w:rPr>
              <w:szCs w:val="28"/>
            </w:rPr>
            <w:t>The P-Plus Market and Terminology</w:t>
          </w:r>
          <w:r>
            <w:rPr/>
            <w:tab/>
          </w:r>
          <w:hyperlink w:anchor="__RefHeading___Toc508684101">
            <w:r>
              <w:rPr>
                <w:rStyle w:val="IndexLink"/>
              </w:rPr>
              <w:t>4</w:t>
            </w:r>
          </w:hyperlink>
        </w:p>
        <w:p>
          <w:pPr>
            <w:pStyle w:val="TOC2"/>
            <w:tabs>
              <w:tab w:val="left" w:pos="720" w:leader="none"/>
              <w:tab w:val="right" w:pos="8296" w:leader="none"/>
            </w:tabs>
            <w:rPr>
              <w:caps w:val="false"/>
              <w:smallCaps w:val="false"/>
              <w:sz w:val="24"/>
              <w:szCs w:val="24"/>
              <w:lang w:val="en-CA" w:eastAsia="en-CA"/>
            </w:rPr>
          </w:pPr>
          <w:r>
            <w:rPr>
              <w:szCs w:val="24"/>
              <w:lang w:val="en-CA" w:eastAsia="en-CA"/>
            </w:rPr>
            <w:t>2.1</w:t>
          </w:r>
          <w:r>
            <w:rPr>
              <w:caps w:val="false"/>
              <w:smallCaps w:val="false"/>
              <w:sz w:val="24"/>
              <w:szCs w:val="24"/>
              <w:lang w:val="en-CA" w:eastAsia="en-CA"/>
            </w:rPr>
            <w:tab/>
          </w:r>
          <w:r>
            <w:rPr>
              <w:szCs w:val="24"/>
              <w:lang w:val="en-CA" w:eastAsia="en-CA"/>
            </w:rPr>
            <w:t>An Example</w:t>
          </w:r>
          <w:r>
            <w:rPr>
              <w:lang w:val="en-CA" w:eastAsia="en-CA"/>
            </w:rPr>
            <w:tab/>
          </w:r>
          <w:hyperlink w:anchor="__RefHeading___Toc508684102">
            <w:r>
              <w:rPr>
                <w:rStyle w:val="IndexLink"/>
                <w:lang w:val="en-CA" w:eastAsia="en-CA"/>
              </w:rPr>
              <w:t>4</w:t>
            </w:r>
          </w:hyperlink>
        </w:p>
        <w:p>
          <w:pPr>
            <w:pStyle w:val="TOC2"/>
            <w:tabs>
              <w:tab w:val="left" w:pos="720" w:leader="none"/>
              <w:tab w:val="right" w:pos="8296" w:leader="none"/>
            </w:tabs>
            <w:rPr>
              <w:caps w:val="false"/>
              <w:smallCaps w:val="false"/>
              <w:sz w:val="24"/>
              <w:szCs w:val="24"/>
              <w:lang w:val="en-CA" w:eastAsia="en-CA"/>
            </w:rPr>
          </w:pPr>
          <w:r>
            <w:rPr>
              <w:szCs w:val="24"/>
              <w:lang w:val="en-CA" w:eastAsia="en-CA"/>
            </w:rPr>
            <w:t>2.2</w:t>
          </w:r>
          <w:r>
            <w:rPr>
              <w:caps w:val="false"/>
              <w:smallCaps w:val="false"/>
              <w:sz w:val="24"/>
              <w:szCs w:val="24"/>
              <w:lang w:val="en-CA" w:eastAsia="en-CA"/>
            </w:rPr>
            <w:tab/>
          </w:r>
          <w:r>
            <w:rPr>
              <w:szCs w:val="24"/>
              <w:lang w:val="en-CA" w:eastAsia="en-CA"/>
            </w:rPr>
            <w:t>P-Plus options</w:t>
          </w:r>
          <w:r>
            <w:rPr>
              <w:lang w:val="en-CA" w:eastAsia="en-CA"/>
            </w:rPr>
            <w:tab/>
          </w:r>
          <w:hyperlink w:anchor="__RefHeading___Toc508684103">
            <w:r>
              <w:rPr>
                <w:rStyle w:val="IndexLink"/>
                <w:lang w:val="en-CA" w:eastAsia="en-CA"/>
              </w:rPr>
              <w:t>5</w:t>
            </w:r>
          </w:hyperlink>
        </w:p>
        <w:p>
          <w:pPr>
            <w:pStyle w:val="TOC1"/>
            <w:tabs>
              <w:tab w:val="left" w:pos="360" w:leader="none"/>
              <w:tab w:val="left" w:pos="480" w:leader="none"/>
            </w:tabs>
            <w:rPr/>
          </w:pPr>
          <w:r>
            <w:rPr>
              <w:szCs w:val="28"/>
            </w:rPr>
            <w:t>3</w:t>
          </w:r>
          <w:r>
            <w:rPr/>
            <w:tab/>
          </w:r>
          <w:r>
            <w:rPr>
              <w:szCs w:val="28"/>
            </w:rPr>
            <w:t>Requested New Model</w:t>
          </w:r>
          <w:r>
            <w:rPr/>
            <w:tab/>
          </w:r>
          <w:hyperlink w:anchor="__RefHeading___Toc508684104">
            <w:r>
              <w:rPr>
                <w:rStyle w:val="IndexLink"/>
              </w:rPr>
              <w:t>5</w:t>
            </w:r>
          </w:hyperlink>
        </w:p>
        <w:p>
          <w:pPr>
            <w:pStyle w:val="TOC2"/>
            <w:tabs>
              <w:tab w:val="left" w:pos="720" w:leader="none"/>
              <w:tab w:val="right" w:pos="8296" w:leader="none"/>
            </w:tabs>
            <w:rPr>
              <w:caps w:val="false"/>
              <w:smallCaps w:val="false"/>
              <w:sz w:val="24"/>
              <w:szCs w:val="24"/>
              <w:lang w:val="en-CA" w:eastAsia="en-CA"/>
            </w:rPr>
          </w:pPr>
          <w:r>
            <w:rPr>
              <w:szCs w:val="24"/>
              <w:lang w:val="en-CA" w:eastAsia="en-CA"/>
            </w:rPr>
            <w:t>3.1</w:t>
          </w:r>
          <w:r>
            <w:rPr>
              <w:caps w:val="false"/>
              <w:smallCaps w:val="false"/>
              <w:sz w:val="24"/>
              <w:szCs w:val="24"/>
              <w:lang w:val="en-CA" w:eastAsia="en-CA"/>
            </w:rPr>
            <w:tab/>
          </w:r>
          <w:r>
            <w:rPr>
              <w:szCs w:val="24"/>
              <w:lang w:val="en-CA" w:eastAsia="en-CA"/>
            </w:rPr>
            <w:t>Details of the model implementation</w:t>
          </w:r>
          <w:r>
            <w:rPr>
              <w:lang w:val="en-CA" w:eastAsia="en-CA"/>
            </w:rPr>
            <w:tab/>
          </w:r>
          <w:hyperlink w:anchor="__RefHeading___Toc508684105">
            <w:r>
              <w:rPr>
                <w:rStyle w:val="IndexLink"/>
                <w:lang w:val="en-CA" w:eastAsia="en-CA"/>
              </w:rPr>
              <w:t>6</w:t>
            </w:r>
          </w:hyperlink>
        </w:p>
        <w:p>
          <w:pPr>
            <w:pStyle w:val="TOC2"/>
            <w:tabs>
              <w:tab w:val="left" w:pos="720" w:leader="none"/>
              <w:tab w:val="right" w:pos="8296" w:leader="none"/>
            </w:tabs>
            <w:rPr>
              <w:sz w:val="24"/>
              <w:szCs w:val="24"/>
              <w:lang w:val="en-CA" w:eastAsia="en-CA"/>
            </w:rPr>
          </w:pPr>
          <w:r>
            <w:rPr>
              <w:caps w:val="false"/>
              <w:smallCaps w:val="false"/>
              <w:szCs w:val="24"/>
              <w:lang w:val="en-CA" w:eastAsia="en-CA"/>
            </w:rPr>
            <w:t>3.2</w:t>
          </w:r>
          <w:r>
            <w:rPr>
              <w:caps w:val="false"/>
              <w:smallCaps w:val="false"/>
              <w:sz w:val="24"/>
              <w:szCs w:val="24"/>
              <w:lang w:val="en-CA" w:eastAsia="en-CA"/>
            </w:rPr>
            <w:tab/>
          </w:r>
          <w:r>
            <w:rPr>
              <w:caps w:val="false"/>
              <w:smallCaps w:val="false"/>
              <w:szCs w:val="24"/>
              <w:lang w:val="en-CA" w:eastAsia="en-CA"/>
            </w:rPr>
            <w:t>Drawbacks of this model vs. current Spread option valuation</w:t>
          </w:r>
          <w:r>
            <w:rPr>
              <w:caps w:val="false"/>
              <w:smallCaps w:val="false"/>
              <w:lang w:val="en-CA" w:eastAsia="en-CA"/>
            </w:rPr>
            <w:tab/>
          </w:r>
          <w:hyperlink w:anchor="__RefHeading___Toc508684106">
            <w:r>
              <w:rPr>
                <w:rStyle w:val="IndexLink"/>
                <w:caps w:val="false"/>
                <w:smallCaps w:val="false"/>
                <w:lang w:val="en-CA" w:eastAsia="en-CA"/>
              </w:rPr>
              <w:t>6</w:t>
            </w:r>
          </w:hyperlink>
          <w:r>
            <w:rPr>
              <w:rStyle w:val="IndexLink"/>
              <w:smallCaps w:val="false"/>
              <w:caps w:val="false"/>
              <w:lang w:val="en-CA" w:eastAsia="en-CA"/>
            </w:rPr>
            <w:fldChar w:fldCharType="end"/>
          </w:r>
        </w:p>
      </w:sdtContent>
    </w:sdt>
    <w:p>
      <w:pPr>
        <w:pStyle w:val="TOC1"/>
        <w:rPr>
          <w:smallCaps/>
          <w:sz w:val="24"/>
          <w:szCs w:val="24"/>
          <w:lang w:val="en-CA" w:eastAsia="en-CA"/>
        </w:rPr>
      </w:pPr>
      <w:r>
        <w:rPr>
          <w:smallCaps/>
          <w:sz w:val="24"/>
          <w:szCs w:val="24"/>
          <w:lang w:val="en-CA" w:eastAsia="en-CA"/>
        </w:rPr>
      </w:r>
      <w:r>
        <w:br w:type="page"/>
      </w:r>
    </w:p>
    <w:p>
      <w:pPr>
        <w:pStyle w:val="Heading1"/>
        <w:tabs>
          <w:tab w:val="clear" w:pos="720"/>
          <w:tab w:val="left" w:pos="450" w:leader="none"/>
        </w:tabs>
        <w:ind w:hanging="0" w:start="0"/>
        <w:rPr/>
      </w:pPr>
      <w:r>
        <w:rPr>
          <w:rFonts w:eastAsia="Arial"/>
        </w:rPr>
        <w:t xml:space="preserve"> </w:t>
      </w:r>
      <w:bookmarkStart w:id="0" w:name="__RefHeading___Toc508684100"/>
      <w:r>
        <w:rPr/>
        <w:t>Introduction</w:t>
      </w:r>
      <w:bookmarkEnd w:id="0"/>
    </w:p>
    <w:p>
      <w:pPr>
        <w:pStyle w:val="Normal"/>
        <w:jc w:val="both"/>
        <w:rPr/>
      </w:pPr>
      <w:r>
        <w:rPr/>
      </w:r>
    </w:p>
    <w:p>
      <w:pPr>
        <w:pStyle w:val="Normal"/>
        <w:jc w:val="both"/>
        <w:rPr/>
      </w:pPr>
      <w:r>
        <w:rPr/>
      </w:r>
    </w:p>
    <w:p>
      <w:pPr>
        <w:pStyle w:val="Normal"/>
        <w:jc w:val="both"/>
        <w:rPr/>
      </w:pPr>
      <w:r>
        <w:rPr/>
        <w:t>Enron takes forward and options positions in order to capture mismatches in pricing between the physical “posting” market for crude at the Cushing gathering point and the futures market which uses Cushing as a physical delivery point.  This document attempts to explain these types of trades and the models which may be used in pricing related options.</w:t>
      </w:r>
    </w:p>
    <w:p>
      <w:pPr>
        <w:pStyle w:val="Normal"/>
        <w:jc w:val="both"/>
        <w:rPr/>
      </w:pPr>
      <w:r>
        <w:rPr/>
      </w:r>
    </w:p>
    <w:p>
      <w:pPr>
        <w:pStyle w:val="Heading1"/>
        <w:ind w:hanging="0" w:start="0"/>
        <w:rPr/>
      </w:pPr>
      <w:bookmarkStart w:id="1" w:name="__RefHeading___Toc508684101"/>
      <w:bookmarkEnd w:id="1"/>
      <w:r>
        <w:rPr/>
        <w:t>The P-Plus Market and Terminology</w:t>
      </w:r>
    </w:p>
    <w:p>
      <w:pPr>
        <w:pStyle w:val="Normal"/>
        <w:jc w:val="both"/>
        <w:rPr/>
      </w:pPr>
      <w:r>
        <w:rPr/>
      </w:r>
    </w:p>
    <w:p>
      <w:pPr>
        <w:pStyle w:val="Normal"/>
        <w:jc w:val="both"/>
        <w:rPr/>
      </w:pPr>
      <w:r>
        <w:rPr/>
        <w:t xml:space="preserve">Various refiners and gatherers offer to purchase physical domestic crude at their stated </w:t>
      </w:r>
      <w:r>
        <w:rPr>
          <w:b/>
          <w:bCs/>
        </w:rPr>
        <w:t>posting prices</w:t>
      </w:r>
      <w:r>
        <w:rPr/>
        <w:t xml:space="preserve">.   There are different postings for different gathering points.  We will be concerned with the WTI posting for the Cushing gathering point.  These postings are usually at a discount to NYMEX WTI prices in order to compensate the gatherer for transport costs.  A premium over the posting price, which may be paid for barrels delivered at the gathering point, is referred to as the </w:t>
      </w:r>
      <w:r>
        <w:rPr>
          <w:b/>
          <w:bCs/>
        </w:rPr>
        <w:t xml:space="preserve">posting bonus </w:t>
      </w:r>
      <w:r>
        <w:rPr/>
        <w:t>or</w:t>
      </w:r>
      <w:r>
        <w:rPr>
          <w:b/>
          <w:bCs/>
        </w:rPr>
        <w:t xml:space="preserve"> p-plus </w:t>
      </w:r>
      <w:r>
        <w:rPr/>
        <w:t>price.</w:t>
      </w:r>
    </w:p>
    <w:p>
      <w:pPr>
        <w:pStyle w:val="Normal"/>
        <w:jc w:val="both"/>
        <w:rPr/>
      </w:pPr>
      <w:r>
        <w:rPr/>
      </w:r>
    </w:p>
    <w:p>
      <w:pPr>
        <w:pStyle w:val="Normal"/>
        <w:jc w:val="both"/>
        <w:rPr/>
      </w:pPr>
      <w:r>
        <w:rPr/>
        <w:t>So we have:</w:t>
      </w:r>
    </w:p>
    <w:p>
      <w:pPr>
        <w:pStyle w:val="Normal"/>
        <w:jc w:val="both"/>
        <w:rPr/>
      </w:pPr>
      <w:r>
        <w:rPr/>
      </w:r>
    </w:p>
    <w:p>
      <w:pPr>
        <w:pStyle w:val="Normal"/>
        <w:jc w:val="both"/>
        <w:rPr/>
      </w:pPr>
      <w:r>
        <w:rPr>
          <w:b/>
          <w:bCs/>
        </w:rPr>
        <w:t>WTI</w:t>
      </w:r>
      <w:r>
        <w:rPr/>
        <w:t xml:space="preserve"> (price of delivered physical) =  (</w:t>
      </w:r>
      <w:r>
        <w:rPr>
          <w:b/>
          <w:bCs/>
        </w:rPr>
        <w:t>Posting Price</w:t>
      </w:r>
      <w:r>
        <w:rPr/>
        <w:t>) + (</w:t>
      </w:r>
      <w:r>
        <w:rPr>
          <w:b/>
          <w:bCs/>
        </w:rPr>
        <w:t>Posting Bonus</w:t>
      </w:r>
      <w:r>
        <w:rPr/>
        <w:t>)</w:t>
      </w:r>
    </w:p>
    <w:p>
      <w:pPr>
        <w:pStyle w:val="Normal"/>
        <w:jc w:val="both"/>
        <w:rPr/>
      </w:pPr>
      <w:r>
        <w:rPr/>
      </w:r>
    </w:p>
    <w:p>
      <w:pPr>
        <w:pStyle w:val="Normal"/>
        <w:jc w:val="both"/>
        <w:rPr/>
      </w:pPr>
      <w:r>
        <w:rPr/>
        <w:t xml:space="preserve">During the delivery month, adjustments in the daily posting price tend to follow the NYMEX prompt WTI contract, although posting prices are adjusted only in $0.25 increments.  The difference between the prompt NYMEX and the WTI posting is called the </w:t>
      </w:r>
      <w:r>
        <w:rPr>
          <w:b/>
          <w:bCs/>
        </w:rPr>
        <w:t>posting basis.</w:t>
      </w:r>
    </w:p>
    <w:p>
      <w:pPr>
        <w:pStyle w:val="Normal"/>
        <w:jc w:val="both"/>
        <w:rPr>
          <w:b/>
          <w:bCs/>
        </w:rPr>
      </w:pPr>
      <w:r>
        <w:rPr>
          <w:b/>
          <w:bCs/>
        </w:rPr>
      </w:r>
    </w:p>
    <w:p>
      <w:pPr>
        <w:pStyle w:val="BodyText"/>
        <w:rPr/>
      </w:pPr>
      <w:r>
        <w:rPr/>
        <w:t>So by definition of the posting basis, we have:</w:t>
      </w:r>
    </w:p>
    <w:p>
      <w:pPr>
        <w:pStyle w:val="Normal"/>
        <w:jc w:val="both"/>
        <w:rPr/>
      </w:pPr>
      <w:r>
        <w:rPr/>
      </w:r>
    </w:p>
    <w:p>
      <w:pPr>
        <w:pStyle w:val="Normal"/>
        <w:jc w:val="both"/>
        <w:rPr/>
      </w:pPr>
      <w:r>
        <w:rPr>
          <w:b/>
          <w:bCs/>
        </w:rPr>
        <w:t>WTI</w:t>
      </w:r>
      <w:r>
        <w:rPr/>
        <w:t xml:space="preserve"> prompt contract  =  (</w:t>
      </w:r>
      <w:r>
        <w:rPr>
          <w:b/>
          <w:bCs/>
        </w:rPr>
        <w:t>Posting Price</w:t>
      </w:r>
      <w:r>
        <w:rPr/>
        <w:t>) + (</w:t>
      </w:r>
      <w:r>
        <w:rPr>
          <w:b/>
          <w:bCs/>
        </w:rPr>
        <w:t>Posting Basis</w:t>
      </w:r>
      <w:r>
        <w:rPr/>
        <w:t>)</w:t>
      </w:r>
    </w:p>
    <w:p>
      <w:pPr>
        <w:pStyle w:val="Normal"/>
        <w:jc w:val="both"/>
        <w:rPr/>
      </w:pPr>
      <w:r>
        <w:rPr/>
      </w:r>
    </w:p>
    <w:p>
      <w:pPr>
        <w:pStyle w:val="Normal"/>
        <w:jc w:val="both"/>
        <w:rPr/>
      </w:pPr>
      <w:r>
        <w:rPr/>
        <w:t xml:space="preserve">A trader purchasing crude at a fixed posting bonus will see an actual price of </w:t>
      </w:r>
    </w:p>
    <w:p>
      <w:pPr>
        <w:pStyle w:val="Normal"/>
        <w:jc w:val="both"/>
        <w:rPr/>
      </w:pPr>
      <w:r>
        <w:rPr/>
      </w:r>
    </w:p>
    <w:p>
      <w:pPr>
        <w:pStyle w:val="Normal"/>
        <w:jc w:val="both"/>
        <w:rPr/>
      </w:pPr>
      <w:r>
        <w:rPr>
          <w:b/>
          <w:bCs/>
        </w:rPr>
        <w:t>WTI</w:t>
      </w:r>
      <w:r>
        <w:rPr/>
        <w:t xml:space="preserve"> (price of physical) </w:t>
        <w:tab/>
        <w:t>=  (</w:t>
      </w:r>
      <w:r>
        <w:rPr>
          <w:b/>
          <w:bCs/>
        </w:rPr>
        <w:t>Posting Price</w:t>
      </w:r>
      <w:r>
        <w:rPr/>
        <w:t>) + (</w:t>
      </w:r>
      <w:r>
        <w:rPr>
          <w:b/>
          <w:bCs/>
        </w:rPr>
        <w:t>Posting Bonus</w:t>
      </w:r>
      <w:r>
        <w:rPr/>
        <w:t>)</w:t>
      </w:r>
    </w:p>
    <w:p>
      <w:pPr>
        <w:pStyle w:val="Normal"/>
        <w:jc w:val="both"/>
        <w:rPr/>
      </w:pPr>
      <w:r>
        <w:rPr/>
        <w:tab/>
        <w:tab/>
        <w:tab/>
        <w:t>=  (</w:t>
      </w:r>
      <w:r>
        <w:rPr>
          <w:b/>
          <w:bCs/>
        </w:rPr>
        <w:t>WTI swap</w:t>
      </w:r>
      <w:r>
        <w:rPr/>
        <w:t>) – (</w:t>
      </w:r>
      <w:r>
        <w:rPr>
          <w:b/>
          <w:bCs/>
        </w:rPr>
        <w:t>Posting Basis</w:t>
      </w:r>
      <w:r>
        <w:rPr/>
        <w:t>) + (</w:t>
      </w:r>
      <w:r>
        <w:rPr>
          <w:b/>
          <w:bCs/>
        </w:rPr>
        <w:t>Posting Bonus</w:t>
      </w:r>
      <w:r>
        <w:rPr/>
        <w:t>)</w:t>
      </w:r>
    </w:p>
    <w:p>
      <w:pPr>
        <w:pStyle w:val="Normal"/>
        <w:jc w:val="both"/>
        <w:rPr/>
      </w:pPr>
      <w:r>
        <w:rPr/>
      </w:r>
    </w:p>
    <w:p>
      <w:pPr>
        <w:pStyle w:val="Normal"/>
        <w:jc w:val="both"/>
        <w:rPr/>
      </w:pPr>
      <w:r>
        <w:rPr/>
        <w:t>where (</w:t>
      </w:r>
      <w:r>
        <w:rPr>
          <w:b/>
          <w:bCs/>
        </w:rPr>
        <w:t>WTI swap</w:t>
      </w:r>
      <w:r>
        <w:rPr/>
        <w:t xml:space="preserve">) represents the average of the prompt contract over the calendar month and Posting Basis is also an average over the month.  </w:t>
      </w:r>
    </w:p>
    <w:p>
      <w:pPr>
        <w:pStyle w:val="Normal"/>
        <w:jc w:val="both"/>
        <w:rPr/>
      </w:pPr>
      <w:r>
        <w:rPr/>
      </w:r>
    </w:p>
    <w:p>
      <w:pPr>
        <w:pStyle w:val="Normal"/>
        <w:jc w:val="both"/>
        <w:rPr/>
      </w:pPr>
      <w:r>
        <w:rPr/>
        <w:t>To simplify the option discussion below, define the Fair Market Bonus  (</w:t>
      </w:r>
      <w:r>
        <w:rPr>
          <w:b/>
          <w:bCs/>
        </w:rPr>
        <w:t xml:space="preserve">FMB) </w:t>
      </w:r>
      <w:r>
        <w:rPr/>
        <w:t>to be the Posting Bonus which would give equal market values to the physical posting market and the futures contract for the same delivery month.  (</w:t>
      </w:r>
      <w:r>
        <w:rPr>
          <w:b/>
          <w:bCs/>
        </w:rPr>
        <w:t xml:space="preserve">FMB </w:t>
      </w:r>
      <w:r>
        <w:rPr/>
        <w:t xml:space="preserve">is the same quantity that is calculated in the index option book as the </w:t>
      </w:r>
      <w:r>
        <w:rPr>
          <w:b/>
          <w:bCs/>
        </w:rPr>
        <w:t>p_plus</w:t>
      </w:r>
      <w:r>
        <w:rPr/>
        <w:t xml:space="preserve"> price.)</w:t>
      </w:r>
    </w:p>
    <w:p>
      <w:pPr>
        <w:pStyle w:val="Normal"/>
        <w:jc w:val="both"/>
        <w:rPr/>
      </w:pPr>
      <w:r>
        <w:rPr/>
      </w:r>
    </w:p>
    <w:p>
      <w:pPr>
        <w:pStyle w:val="Normal"/>
        <w:jc w:val="both"/>
        <w:rPr/>
      </w:pPr>
      <w:r>
        <w:rPr/>
        <w:t xml:space="preserve">That is:  </w:t>
      </w:r>
    </w:p>
    <w:p>
      <w:pPr>
        <w:pStyle w:val="Normal"/>
        <w:jc w:val="both"/>
        <w:rPr/>
      </w:pPr>
      <w:r>
        <w:rPr/>
      </w:r>
    </w:p>
    <w:p>
      <w:pPr>
        <w:pStyle w:val="Normal"/>
        <w:jc w:val="both"/>
        <w:rPr/>
      </w:pPr>
      <w:r>
        <w:rPr>
          <w:b/>
          <w:bCs/>
        </w:rPr>
        <w:t>NXWTI</w:t>
      </w:r>
      <w:r>
        <w:rPr/>
        <w:t xml:space="preserve"> (delivery month)</w:t>
        <w:tab/>
        <w:t>=  (WTI swap) – (</w:t>
      </w:r>
      <w:r>
        <w:rPr>
          <w:b/>
          <w:bCs/>
        </w:rPr>
        <w:t>Posting Basis</w:t>
      </w:r>
      <w:r>
        <w:rPr/>
        <w:t>) + (</w:t>
      </w:r>
      <w:r>
        <w:rPr>
          <w:b/>
          <w:bCs/>
        </w:rPr>
        <w:t>FMB</w:t>
      </w:r>
      <w:r>
        <w:rPr/>
        <w:t>)</w:t>
      </w:r>
    </w:p>
    <w:p>
      <w:pPr>
        <w:pStyle w:val="Normal"/>
        <w:jc w:val="both"/>
        <w:rPr/>
      </w:pPr>
      <w:r>
        <w:rPr/>
        <w:t xml:space="preserve"> </w:t>
      </w:r>
    </w:p>
    <w:p>
      <w:pPr>
        <w:pStyle w:val="Normal"/>
        <w:jc w:val="both"/>
        <w:rPr/>
      </w:pPr>
      <w:r>
        <w:rPr/>
        <w:t>Or</w:t>
      </w:r>
    </w:p>
    <w:p>
      <w:pPr>
        <w:pStyle w:val="Normal"/>
        <w:jc w:val="both"/>
        <w:rPr/>
      </w:pPr>
      <w:r>
        <w:rPr/>
      </w:r>
    </w:p>
    <w:p>
      <w:pPr>
        <w:pStyle w:val="Normal"/>
        <w:jc w:val="both"/>
        <w:rPr/>
      </w:pPr>
      <w:r>
        <w:rPr>
          <w:b/>
          <w:bCs/>
        </w:rPr>
        <w:t>FMB</w:t>
        <w:tab/>
        <w:t>= NXWTI</w:t>
      </w:r>
      <w:r>
        <w:rPr/>
        <w:t xml:space="preserve"> (delivery month)  –  (WTI swap) + (</w:t>
      </w:r>
      <w:r>
        <w:rPr>
          <w:b/>
          <w:bCs/>
        </w:rPr>
        <w:t>Posting Basis</w:t>
      </w:r>
      <w:r>
        <w:rPr/>
        <w:t>)</w:t>
      </w:r>
    </w:p>
    <w:p>
      <w:pPr>
        <w:pStyle w:val="Normal"/>
        <w:jc w:val="both"/>
        <w:rPr/>
      </w:pPr>
      <w:r>
        <w:rPr/>
      </w:r>
    </w:p>
    <w:p>
      <w:pPr>
        <w:pStyle w:val="BodyText"/>
        <w:rPr/>
      </w:pPr>
      <w:r>
        <w:rPr/>
        <w:t>Where again (WTI swap) is the appropriatly weighted average of the futures prices for the contracts that will be prompt during the delivery month.</w:t>
      </w:r>
    </w:p>
    <w:p>
      <w:pPr>
        <w:pStyle w:val="Normal"/>
        <w:jc w:val="both"/>
        <w:rPr/>
      </w:pPr>
      <w:r>
        <w:rPr/>
      </w:r>
    </w:p>
    <w:p>
      <w:pPr>
        <w:pStyle w:val="Heading2"/>
        <w:ind w:hanging="0" w:start="0"/>
        <w:rPr/>
      </w:pPr>
      <w:bookmarkStart w:id="2" w:name="__RefHeading___Toc508684102"/>
      <w:bookmarkEnd w:id="2"/>
      <w:r>
        <w:rPr/>
        <w:t>An Example</w:t>
      </w:r>
    </w:p>
    <w:p>
      <w:pPr>
        <w:pStyle w:val="Normal"/>
        <w:jc w:val="both"/>
        <w:rPr/>
      </w:pPr>
      <w:r>
        <w:rPr/>
      </w:r>
    </w:p>
    <w:p>
      <w:pPr>
        <w:pStyle w:val="Normal"/>
        <w:jc w:val="both"/>
        <w:rPr/>
      </w:pPr>
      <w:r>
        <w:rPr/>
        <w:t>Consider an example of purchasing September crude by means of a posting bonus, and then selling the crude by delivery into the September NYMEX contract.   This will give a profit of:</w:t>
      </w:r>
    </w:p>
    <w:p>
      <w:pPr>
        <w:pStyle w:val="Normal"/>
        <w:jc w:val="both"/>
        <w:rPr/>
      </w:pPr>
      <w:r>
        <w:rPr/>
      </w:r>
    </w:p>
    <w:p>
      <w:pPr>
        <w:pStyle w:val="Normal"/>
        <w:jc w:val="both"/>
        <w:rPr/>
      </w:pPr>
      <w:r>
        <w:rPr/>
        <w:t xml:space="preserve">P/L </w:t>
        <w:tab/>
        <w:t>=  Selling Price</w:t>
        <w:tab/>
        <w:t>–</w:t>
        <w:tab/>
        <w:t>Purchase Price</w:t>
      </w:r>
    </w:p>
    <w:p>
      <w:pPr>
        <w:pStyle w:val="Normal"/>
        <w:jc w:val="both"/>
        <w:rPr/>
      </w:pPr>
      <w:r>
        <w:rPr/>
      </w:r>
    </w:p>
    <w:p>
      <w:pPr>
        <w:pStyle w:val="Normal"/>
        <w:ind w:firstLine="720" w:end="0"/>
        <w:jc w:val="both"/>
        <w:rPr/>
      </w:pPr>
      <w:r>
        <w:rPr/>
        <w:t>=  (Sept. Future) –  [(WTI swap) – (</w:t>
      </w:r>
      <w:r>
        <w:rPr>
          <w:b/>
          <w:bCs/>
        </w:rPr>
        <w:t>Posting Basis</w:t>
      </w:r>
      <w:r>
        <w:rPr/>
        <w:t>) + (</w:t>
      </w:r>
      <w:r>
        <w:rPr>
          <w:b/>
          <w:bCs/>
        </w:rPr>
        <w:t>Posting Bonus</w:t>
      </w:r>
      <w:r>
        <w:rPr/>
        <w:t>)]</w:t>
      </w:r>
    </w:p>
    <w:p>
      <w:pPr>
        <w:pStyle w:val="Normal"/>
        <w:ind w:firstLine="720" w:end="0"/>
        <w:jc w:val="both"/>
        <w:rPr/>
      </w:pPr>
      <w:r>
        <w:rPr/>
      </w:r>
    </w:p>
    <w:p>
      <w:pPr>
        <w:pStyle w:val="Normal"/>
        <w:ind w:firstLine="720" w:end="0"/>
        <w:jc w:val="both"/>
        <w:rPr>
          <w:vertAlign w:val="subscript"/>
        </w:rPr>
      </w:pPr>
      <w:r>
        <w:rPr/>
        <w:t>= (Sept. Future) – (WTI swap) + (</w:t>
      </w:r>
      <w:r>
        <w:rPr>
          <w:b/>
          <w:bCs/>
        </w:rPr>
        <w:t>Posting Basis</w:t>
      </w:r>
      <w:r>
        <w:rPr/>
        <w:t>) – (</w:t>
      </w:r>
      <w:r>
        <w:rPr>
          <w:b/>
          <w:bCs/>
        </w:rPr>
        <w:t>Posting Bonus</w:t>
      </w:r>
      <w:r>
        <w:rPr/>
        <w:t>)</w:t>
      </w:r>
    </w:p>
    <w:p>
      <w:pPr>
        <w:pStyle w:val="Normal"/>
        <w:ind w:firstLine="720" w:end="0"/>
        <w:jc w:val="both"/>
        <w:rPr>
          <w:vertAlign w:val="subscript"/>
        </w:rPr>
      </w:pPr>
      <w:r>
        <w:rPr>
          <w:vertAlign w:val="subscript"/>
        </w:rPr>
      </w:r>
    </w:p>
    <w:p>
      <w:pPr>
        <w:pStyle w:val="Normal"/>
        <w:jc w:val="both"/>
        <w:rPr/>
      </w:pPr>
      <w:r>
        <w:rPr/>
      </w:r>
    </w:p>
    <w:p>
      <w:pPr>
        <w:pStyle w:val="Normal"/>
        <w:jc w:val="both"/>
        <w:rPr/>
      </w:pPr>
      <w:r>
        <w:rPr/>
        <w:t>Here, (WTI swap) is the average of the Oct. and Nov. futures contracts for the time that they are prompt during September.</w:t>
      </w:r>
    </w:p>
    <w:p>
      <w:pPr>
        <w:pStyle w:val="Normal"/>
        <w:jc w:val="both"/>
        <w:rPr/>
      </w:pPr>
      <w:r>
        <w:rPr/>
      </w:r>
    </w:p>
    <w:p>
      <w:pPr>
        <w:pStyle w:val="Normal"/>
        <w:jc w:val="both"/>
        <w:rPr/>
      </w:pPr>
      <w:r>
        <w:rPr/>
      </w:r>
    </w:p>
    <w:p>
      <w:pPr>
        <w:pStyle w:val="Heading2"/>
        <w:ind w:hanging="0" w:start="0"/>
        <w:rPr/>
      </w:pPr>
      <w:bookmarkStart w:id="3" w:name="__RefHeading___Toc508684103"/>
      <w:bookmarkEnd w:id="3"/>
      <w:r>
        <w:rPr/>
        <w:t>P-Plus options</w:t>
      </w:r>
    </w:p>
    <w:p>
      <w:pPr>
        <w:pStyle w:val="Normal"/>
        <w:jc w:val="both"/>
        <w:rPr/>
      </w:pPr>
      <w:r>
        <w:rPr/>
      </w:r>
    </w:p>
    <w:p>
      <w:pPr>
        <w:pStyle w:val="Normal"/>
        <w:jc w:val="both"/>
        <w:rPr/>
      </w:pPr>
      <w:r>
        <w:rPr/>
        <w:t xml:space="preserve">Posting plus options allow the holder to purchase (call) or sell (put) physical crude by means of a fixed posting bonus (the option strike).  </w:t>
      </w:r>
    </w:p>
    <w:p>
      <w:pPr>
        <w:pStyle w:val="Normal"/>
        <w:jc w:val="both"/>
        <w:rPr/>
      </w:pPr>
      <w:r>
        <w:rPr/>
      </w:r>
    </w:p>
    <w:p>
      <w:pPr>
        <w:pStyle w:val="Normal"/>
        <w:jc w:val="both"/>
        <w:rPr/>
      </w:pPr>
      <w:r>
        <w:rPr/>
        <w:t>Currently, the options are booked as an option on the 2-commodity spread between the delivery month future price (NXWTI) and the expected posting based price for the month given by (WTI swap – Posting Basis) added to the fixed Posting Bonus.</w:t>
      </w:r>
    </w:p>
    <w:p>
      <w:pPr>
        <w:pStyle w:val="Normal"/>
        <w:jc w:val="both"/>
        <w:rPr/>
      </w:pPr>
      <w:r>
        <w:rPr/>
      </w:r>
    </w:p>
    <w:p>
      <w:pPr>
        <w:pStyle w:val="Normal"/>
        <w:jc w:val="both"/>
        <w:rPr/>
      </w:pPr>
      <w:r>
        <w:rPr/>
        <w:t>That is, the payoff for a call option is</w:t>
      </w:r>
    </w:p>
    <w:p>
      <w:pPr>
        <w:pStyle w:val="Normal"/>
        <w:jc w:val="both"/>
        <w:rPr/>
      </w:pPr>
      <w:r>
        <w:rPr/>
      </w:r>
    </w:p>
    <w:p>
      <w:pPr>
        <w:pStyle w:val="Normal"/>
        <w:jc w:val="both"/>
        <w:rPr/>
      </w:pPr>
      <w:r>
        <w:rPr/>
        <w:t>Payoff</w:t>
        <w:tab/>
        <w:t>= Max( 0,  A – B – K).</w:t>
      </w:r>
    </w:p>
    <w:p>
      <w:pPr>
        <w:pStyle w:val="Normal"/>
        <w:jc w:val="both"/>
        <w:rPr/>
      </w:pPr>
      <w:r>
        <w:rPr/>
      </w:r>
    </w:p>
    <w:p>
      <w:pPr>
        <w:pStyle w:val="Normal"/>
        <w:jc w:val="both"/>
        <w:rPr/>
      </w:pPr>
      <w:r>
        <w:rPr/>
        <w:t>Where the floating legs of the spread are</w:t>
      </w:r>
    </w:p>
    <w:p>
      <w:pPr>
        <w:pStyle w:val="Normal"/>
        <w:jc w:val="both"/>
        <w:rPr/>
      </w:pPr>
      <w:r>
        <w:rPr/>
        <w:tab/>
        <w:t>A = NXWTI (delivery price for NX)</w:t>
      </w:r>
    </w:p>
    <w:p>
      <w:pPr>
        <w:pStyle w:val="Normal"/>
        <w:jc w:val="both"/>
        <w:rPr/>
      </w:pPr>
      <w:r>
        <w:rPr/>
        <w:tab/>
        <w:t>B = Posting Price = (WTI Swap) – (Posting Basis)</w:t>
      </w:r>
    </w:p>
    <w:p>
      <w:pPr>
        <w:pStyle w:val="Normal"/>
        <w:jc w:val="both"/>
        <w:rPr/>
      </w:pPr>
      <w:r>
        <w:rPr/>
        <w:tab/>
        <w:t>K= Posting Basis (fixed).</w:t>
      </w:r>
    </w:p>
    <w:p>
      <w:pPr>
        <w:pStyle w:val="Normal"/>
        <w:jc w:val="both"/>
        <w:rPr/>
      </w:pPr>
      <w:r>
        <w:rPr/>
      </w:r>
    </w:p>
    <w:p>
      <w:pPr>
        <w:pStyle w:val="Normal"/>
        <w:jc w:val="both"/>
        <w:rPr/>
      </w:pPr>
      <w:r>
        <w:rPr/>
        <w:t>The other relevant inputs into this model are the volatility of A and B (the volatility of the delivery contract and the swap for the same calendar month) and the correlation between A and B.</w:t>
      </w:r>
    </w:p>
    <w:p>
      <w:pPr>
        <w:pStyle w:val="Normal"/>
        <w:jc w:val="both"/>
        <w:rPr/>
      </w:pPr>
      <w:r>
        <w:rPr/>
      </w:r>
    </w:p>
    <w:p>
      <w:pPr>
        <w:pStyle w:val="Normal"/>
        <w:jc w:val="both"/>
        <w:rPr/>
      </w:pPr>
      <w:r>
        <w:rPr/>
        <w:t>Over the long term, one would expect that the correlation between A and B will be driven mainly by the correlation between the delivery month futures and the weighted average of the next two futures which make up the Swap.  In the short term the correlation may also be affected by changes in the Posting Basis, although the Basis should remain within a reasonably narrow range even over the long term.</w:t>
      </w:r>
    </w:p>
    <w:p>
      <w:pPr>
        <w:pStyle w:val="Normal"/>
        <w:jc w:val="both"/>
        <w:rPr/>
      </w:pPr>
      <w:r>
        <w:rPr/>
      </w:r>
    </w:p>
    <w:p>
      <w:pPr>
        <w:pStyle w:val="Normal"/>
        <w:jc w:val="both"/>
        <w:rPr/>
      </w:pPr>
      <w:r>
        <w:rPr/>
        <w:t>Note that after exercise of this type of option, the remaining leg of the spread (the “B” leg) is hedged using NYMEX but there is still some exposure to movements in the Posting Basis during the delivery month.</w:t>
      </w:r>
    </w:p>
    <w:p>
      <w:pPr>
        <w:pStyle w:val="Normal"/>
        <w:jc w:val="both"/>
        <w:rPr/>
      </w:pPr>
      <w:r>
        <w:rPr/>
      </w:r>
    </w:p>
    <w:p>
      <w:pPr>
        <w:pStyle w:val="Normal"/>
        <w:jc w:val="both"/>
        <w:rPr/>
      </w:pPr>
      <w:r>
        <w:rPr/>
      </w:r>
    </w:p>
    <w:p>
      <w:pPr>
        <w:pStyle w:val="Heading1"/>
        <w:ind w:hanging="0" w:start="0"/>
        <w:rPr/>
      </w:pPr>
      <w:bookmarkStart w:id="4" w:name="__RefHeading___Toc508684104"/>
      <w:bookmarkEnd w:id="4"/>
      <w:r>
        <w:rPr/>
        <w:t>Requested New Model</w:t>
      </w:r>
    </w:p>
    <w:p>
      <w:pPr>
        <w:pStyle w:val="Normal"/>
        <w:jc w:val="both"/>
        <w:rPr/>
      </w:pPr>
      <w:r>
        <w:rPr/>
        <w:t>The p-plus trader has requested that research supply a new model for valuation of p-plus options.  The new model will be implemented using the Monte-Carlo method and will allow for simulation of all four random components in the p-plus transaction, which are</w:t>
      </w:r>
    </w:p>
    <w:p>
      <w:pPr>
        <w:pStyle w:val="Normal"/>
        <w:jc w:val="both"/>
        <w:rPr/>
      </w:pPr>
      <w:r>
        <w:rPr/>
      </w:r>
    </w:p>
    <w:p>
      <w:pPr>
        <w:pStyle w:val="Normal"/>
        <w:numPr>
          <w:ilvl w:val="0"/>
          <w:numId w:val="2"/>
        </w:numPr>
        <w:jc w:val="both"/>
        <w:rPr/>
      </w:pPr>
      <w:r>
        <w:rPr/>
        <w:t>The Delivery month futures</w:t>
      </w:r>
    </w:p>
    <w:p>
      <w:pPr>
        <w:pStyle w:val="Normal"/>
        <w:numPr>
          <w:ilvl w:val="0"/>
          <w:numId w:val="2"/>
        </w:numPr>
        <w:jc w:val="both"/>
        <w:rPr/>
      </w:pPr>
      <w:r>
        <w:rPr/>
        <w:t>Futures 1 in the Swap</w:t>
      </w:r>
    </w:p>
    <w:p>
      <w:pPr>
        <w:pStyle w:val="Normal"/>
        <w:numPr>
          <w:ilvl w:val="0"/>
          <w:numId w:val="2"/>
        </w:numPr>
        <w:jc w:val="both"/>
        <w:rPr/>
      </w:pPr>
      <w:r>
        <w:rPr/>
        <w:t>Futures 2 in the Swap</w:t>
      </w:r>
    </w:p>
    <w:p>
      <w:pPr>
        <w:pStyle w:val="Normal"/>
        <w:numPr>
          <w:ilvl w:val="0"/>
          <w:numId w:val="2"/>
        </w:numPr>
        <w:jc w:val="both"/>
        <w:rPr/>
      </w:pPr>
      <w:r>
        <w:rPr/>
        <w:t>The Posting Basis</w:t>
      </w:r>
    </w:p>
    <w:p>
      <w:pPr>
        <w:pStyle w:val="Normal"/>
        <w:jc w:val="both"/>
        <w:rPr/>
      </w:pPr>
      <w:r>
        <w:rPr/>
      </w:r>
    </w:p>
    <w:p>
      <w:pPr>
        <w:pStyle w:val="Normal"/>
        <w:jc w:val="both"/>
        <w:rPr/>
      </w:pPr>
      <w:r>
        <w:rPr/>
        <w:t>The evolution of these four prices would be modeled up to the option expiration, which can be assumed to be at the termination of the Delivery month futures contract.  Additional basis risks from inability to hedge the Posting Basis during the delivery month will be assumes to have a net zero affect on the option value and will not be modeled.</w:t>
      </w:r>
    </w:p>
    <w:p>
      <w:pPr>
        <w:pStyle w:val="Normal"/>
        <w:jc w:val="both"/>
        <w:rPr/>
      </w:pPr>
      <w:r>
        <w:rPr/>
      </w:r>
    </w:p>
    <w:p>
      <w:pPr>
        <w:pStyle w:val="Normal"/>
        <w:jc w:val="both"/>
        <w:rPr/>
      </w:pPr>
      <w:r>
        <w:rPr/>
      </w:r>
    </w:p>
    <w:p>
      <w:pPr>
        <w:pStyle w:val="Normal"/>
        <w:jc w:val="both"/>
        <w:rPr/>
      </w:pPr>
      <w:r>
        <w:rPr/>
      </w:r>
    </w:p>
    <w:p>
      <w:pPr>
        <w:pStyle w:val="Heading2"/>
        <w:ind w:hanging="0" w:start="0"/>
        <w:rPr/>
      </w:pPr>
      <w:bookmarkStart w:id="5" w:name="__RefHeading___Toc508684105"/>
      <w:bookmarkEnd w:id="5"/>
      <w:r>
        <w:rPr/>
        <w:t>Details of the model implementation</w:t>
      </w:r>
    </w:p>
    <w:p>
      <w:pPr>
        <w:pStyle w:val="Normal"/>
        <w:jc w:val="both"/>
        <w:rPr/>
      </w:pPr>
      <w:r>
        <w:rPr/>
      </w:r>
    </w:p>
    <w:p>
      <w:pPr>
        <w:pStyle w:val="Normal"/>
        <w:jc w:val="both"/>
        <w:rPr/>
      </w:pPr>
      <w:r>
        <w:rPr/>
        <w:t>Since the decision to deliver or receive delivery from the NX WTI contract must be made by the contract termination date, this date is considered as the expiration date of the p-plus option.  The four prices involved in the option payoff should be simulated up to this date.  Let us consider each of these prices.</w:t>
      </w:r>
    </w:p>
    <w:p>
      <w:pPr>
        <w:pStyle w:val="Normal"/>
        <w:jc w:val="both"/>
        <w:rPr/>
      </w:pPr>
      <w:r>
        <w:rPr/>
      </w:r>
    </w:p>
    <w:p>
      <w:pPr>
        <w:pStyle w:val="BodyTextIndent"/>
        <w:numPr>
          <w:ilvl w:val="0"/>
          <w:numId w:val="3"/>
        </w:numPr>
        <w:rPr>
          <w:b/>
          <w:bCs/>
        </w:rPr>
      </w:pPr>
      <w:r>
        <w:rPr>
          <w:b/>
          <w:bCs/>
        </w:rPr>
        <w:t>Delivery month futures price.</w:t>
      </w:r>
    </w:p>
    <w:p>
      <w:pPr>
        <w:pStyle w:val="BodyTextIndent"/>
        <w:ind w:start="792" w:end="0"/>
        <w:rPr/>
      </w:pPr>
      <w:r>
        <w:rPr/>
        <w:t>The volatility is given already by the NYMEX vol curve. Model using ordinary GBM assumptions.</w:t>
      </w:r>
    </w:p>
    <w:p>
      <w:pPr>
        <w:pStyle w:val="BodyTextIndent"/>
        <w:ind w:start="792" w:end="0"/>
        <w:rPr/>
      </w:pPr>
      <w:r>
        <w:rPr/>
      </w:r>
    </w:p>
    <w:p>
      <w:pPr>
        <w:pStyle w:val="BodyTextIndent"/>
        <w:numPr>
          <w:ilvl w:val="0"/>
          <w:numId w:val="3"/>
        </w:numPr>
        <w:rPr>
          <w:b/>
          <w:bCs/>
        </w:rPr>
      </w:pPr>
      <w:r>
        <w:rPr>
          <w:b/>
          <w:bCs/>
        </w:rPr>
        <w:t>Futures 1 in the swap</w:t>
      </w:r>
    </w:p>
    <w:p>
      <w:pPr>
        <w:pStyle w:val="BodyTextIndent"/>
        <w:ind w:start="792" w:end="0"/>
        <w:rPr/>
      </w:pPr>
      <w:r>
        <w:rPr/>
        <w:t xml:space="preserve">The volatility for this futures will need to be adjusted for the option expiration date prior to the contract termination.  </w:t>
      </w:r>
      <w:r>
        <w:rPr>
          <w:color w:val="3366FF"/>
        </w:rPr>
        <w:t>Will traders provide this adjusted curve?</w:t>
      </w:r>
    </w:p>
    <w:p>
      <w:pPr>
        <w:pStyle w:val="BodyTextIndent"/>
        <w:ind w:start="792" w:end="0"/>
        <w:rPr/>
      </w:pPr>
      <w:r>
        <w:rPr/>
      </w:r>
    </w:p>
    <w:p>
      <w:pPr>
        <w:pStyle w:val="BodyTextIndent"/>
        <w:numPr>
          <w:ilvl w:val="0"/>
          <w:numId w:val="3"/>
        </w:numPr>
        <w:rPr>
          <w:b/>
          <w:bCs/>
        </w:rPr>
      </w:pPr>
      <w:r>
        <w:rPr>
          <w:b/>
          <w:bCs/>
        </w:rPr>
        <w:t>Futures 2 in the swap</w:t>
      </w:r>
    </w:p>
    <w:p>
      <w:pPr>
        <w:pStyle w:val="BodyTextIndent"/>
        <w:ind w:start="792" w:end="0"/>
        <w:rPr/>
      </w:pPr>
      <w:r>
        <w:rPr/>
        <w:t xml:space="preserve">The volatility for this futures will need to be adjusted for the option expiration date prior to the contract termination.  </w:t>
      </w:r>
      <w:r>
        <w:rPr>
          <w:color w:val="3366FF"/>
        </w:rPr>
        <w:t>Will traders provide this adjusted curve?</w:t>
      </w:r>
    </w:p>
    <w:p>
      <w:pPr>
        <w:pStyle w:val="BodyTextIndent"/>
        <w:ind w:start="0" w:end="0"/>
        <w:rPr>
          <w:color w:val="3366FF"/>
        </w:rPr>
      </w:pPr>
      <w:r>
        <w:rPr>
          <w:color w:val="3366FF"/>
        </w:rPr>
      </w:r>
    </w:p>
    <w:p>
      <w:pPr>
        <w:pStyle w:val="BodyTextIndent"/>
        <w:numPr>
          <w:ilvl w:val="0"/>
          <w:numId w:val="3"/>
        </w:numPr>
        <w:rPr>
          <w:b/>
          <w:bCs/>
        </w:rPr>
      </w:pPr>
      <w:r>
        <w:rPr>
          <w:b/>
          <w:bCs/>
        </w:rPr>
        <w:t>Model the Posting Basis or Posting Price?</w:t>
      </w:r>
    </w:p>
    <w:p>
      <w:pPr>
        <w:pStyle w:val="BodyTextIndent"/>
        <w:ind w:start="792" w:end="0"/>
        <w:rPr/>
      </w:pPr>
      <w:r>
        <w:rPr/>
        <w:t xml:space="preserve">Modeling the posting basis is the most difficult part of developing a good option model.  </w:t>
      </w:r>
      <w:r>
        <w:rPr>
          <w:color w:val="3366FF"/>
        </w:rPr>
        <w:t>Statistical analysis should be done on historical behavior of both the posting price and the posting basis in order to determine which one has the more predictable price behavior or higher correlation with the futures price movements.</w:t>
      </w:r>
      <w:r>
        <w:rPr/>
        <w:t xml:space="preserve">  </w:t>
      </w:r>
      <w:r>
        <w:rPr>
          <w:color w:val="3366FF"/>
        </w:rPr>
        <w:t>After this analysis, a decision should be made in concert with the p-plus trader as to which approach is taken</w:t>
      </w:r>
      <w:r>
        <w:rPr/>
        <w:t>.</w:t>
      </w:r>
    </w:p>
    <w:p>
      <w:pPr>
        <w:pStyle w:val="BodyTextIndent"/>
        <w:ind w:start="792" w:end="0"/>
        <w:rPr/>
      </w:pPr>
      <w:r>
        <w:rPr/>
      </w:r>
    </w:p>
    <w:p>
      <w:pPr>
        <w:pStyle w:val="BodyTextIndent"/>
        <w:ind w:start="792" w:end="0"/>
        <w:rPr/>
      </w:pPr>
      <w:r>
        <w:rPr/>
        <w:t>The Posting Basis is not an asset price, but a price differential, so careful consideration may be required to decide on the proper price dynamics.  The fact that posting prices are adjusted only in $0.25 increments adds an additional complication.  It may be preferable to model the behavior of the Posting Price itself and use the Posting Basis as an input to derive the Posting Price from the futures.</w:t>
      </w:r>
    </w:p>
    <w:p>
      <w:pPr>
        <w:pStyle w:val="BodyTextIndent"/>
        <w:rPr/>
      </w:pPr>
      <w:r>
        <w:rPr/>
      </w:r>
    </w:p>
    <w:p>
      <w:pPr>
        <w:pStyle w:val="Normal"/>
        <w:jc w:val="both"/>
        <w:rPr/>
      </w:pPr>
      <w:r>
        <w:rPr/>
      </w:r>
    </w:p>
    <w:p>
      <w:pPr>
        <w:pStyle w:val="Heading2"/>
        <w:ind w:hanging="0" w:start="0"/>
        <w:rPr/>
      </w:pPr>
      <w:bookmarkStart w:id="6" w:name="__RefHeading___Toc508684106"/>
      <w:bookmarkEnd w:id="6"/>
      <w:r>
        <w:rPr/>
        <w:t>Drawbacks of this model vs. current Spread option valuation</w:t>
      </w:r>
    </w:p>
    <w:p>
      <w:pPr>
        <w:pStyle w:val="Normal"/>
        <w:rPr/>
      </w:pPr>
      <w:r>
        <w:rPr/>
      </w:r>
    </w:p>
    <w:p>
      <w:pPr>
        <w:pStyle w:val="Normal"/>
        <w:rPr/>
      </w:pPr>
      <w:r>
        <w:rPr/>
        <w:t>The operational drawbacks of adopting this type of model for managing p-plus deals should be noted.  As will any Monte-Carlo method, calculation times will be significantly longer than for the semi-analytical spread option model.   In addition, because this model will explicitly use the price dynamics of four different prices, the numer of inputs to the model will be increased in kind.  There will now be four volatilities and a 4x4 correlation matrix for each option.</w:t>
      </w:r>
    </w:p>
    <w:p>
      <w:pPr>
        <w:pStyle w:val="Normal"/>
        <w:rPr/>
      </w:pPr>
      <w:r>
        <w:rPr/>
      </w:r>
    </w:p>
    <w:p>
      <w:pPr>
        <w:pStyle w:val="Normal"/>
        <w:rPr/>
      </w:pPr>
      <w:r>
        <w:rPr/>
        <w:t>Dealing with these additional operational burdens should be weighed against the difference in quality of model results before a decision is made regarding whether or not to adopt this model as a production model for use in the risk books.</w:t>
      </w:r>
    </w:p>
    <w:sectPr>
      <w:headerReference w:type="default" r:id="rId7"/>
      <w:headerReference w:type="first" r:id="rId8"/>
      <w:footerReference w:type="default" r:id="rId9"/>
      <w:footerReference w:type="first" r:id="rId10"/>
      <w:type w:val="nextPage"/>
      <w:pgSz w:w="11906" w:h="16838"/>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center" w:pos="4395" w:leader="none"/>
        <w:tab w:val="right" w:pos="8364" w:leader="none"/>
      </w:tabs>
      <w:rPr>
        <w:rStyle w:val="PageNumber"/>
        <w:rFonts w:ascii="Arial" w:hAnsi="Arial" w:cs="Arial"/>
        <w:b/>
        <w:color w:val="000080"/>
      </w:rPr>
    </w:pPr>
    <w:r>
      <w:rPr>
        <w:rFonts w:cs="Arial" w:ascii="Arial" w:hAnsi="Arial"/>
        <w:b/>
        <w:color w:val="000080"/>
      </w:rPr>
      <w:t>Enron Research</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w:t>
    </w:r>
    <w:r>
      <w:rPr>
        <w:rStyle w:val="PageNumber"/>
        <w:b/>
        <w:rFonts w:cs="Arial" w:ascii="Arial" w:hAnsi="Arial"/>
        <w:color w:val="000080"/>
      </w:rPr>
      <w:fldChar w:fldCharType="end"/>
    </w:r>
    <w:r>
      <w:rPr>
        <w:rFonts w:cs="Arial" w:ascii="Arial" w:hAnsi="Arial"/>
        <w:b/>
        <w:color w:val="000080"/>
      </w:rPr>
      <w:t xml:space="preserve"> </w:t>
      <w:tab/>
      <w:t xml:space="preserve">Page </w:t>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w:t>
    </w:r>
    <w:r>
      <w:rPr>
        <w:rStyle w:val="PageNumber"/>
        <w:b/>
        <w:rFonts w:cs="Arial" w:ascii="Arial" w:hAnsi="Arial"/>
        <w:color w:val="000080"/>
      </w:rPr>
      <w:fldChar w:fldCharType="end"/>
    </w:r>
    <w:r>
      <w:rPr>
        <w:rStyle w:val="PageNumber"/>
        <w:rFonts w:cs="Arial" w:ascii="Arial" w:hAnsi="Arial"/>
        <w:b/>
        <w:color w:val="000080"/>
      </w:rPr>
      <w:t xml:space="preserve"> of </w:t>
    </w:r>
    <w:r>
      <w:rPr>
        <w:b/>
      </w:rPr>
      <w:fldChar w:fldCharType="begin"/>
    </w:r>
    <w:r>
      <w:rPr>
        <w:b/>
      </w:rPr>
      <w:instrText xml:space="preserve"> NUMPAGES \* ARABIC </w:instrText>
    </w:r>
    <w:r>
      <w:rPr>
        <w:b/>
      </w:rPr>
      <w:fldChar w:fldCharType="separate"/>
    </w:r>
    <w:r>
      <w:rPr>
        <w:b/>
      </w:rPr>
      <w:t>7</w:t>
    </w:r>
    <w:r>
      <w:rPr>
        <w:b/>
      </w:rPr>
      <w:fldChar w:fldCharType="end"/>
    </w:r>
  </w:p>
  <w:p>
    <w:pPr>
      <w:pStyle w:val="Footer"/>
      <w:pBdr>
        <w:top w:val="single" w:sz="12" w:space="1" w:color="000080"/>
      </w:pBdr>
      <w:tabs>
        <w:tab w:val="clear" w:pos="4153"/>
        <w:tab w:val="clear" w:pos="8306"/>
        <w:tab w:val="right" w:pos="8364" w:leader="none"/>
      </w:tabs>
      <w:rPr/>
    </w:pPr>
    <w:r>
      <w:rPr>
        <w:rStyle w:val="PageNumber"/>
        <w:rFonts w:cs="Arial" w:ascii="Arial" w:hAnsi="Arial"/>
        <w:i/>
        <w:color w:val="000080"/>
        <w:sz w:val="16"/>
      </w:rPr>
      <w:t>Posting Plus Options</w:t>
      <w:tab/>
      <w:t>Discussion Document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center" w:pos="4395" w:leader="none"/>
        <w:tab w:val="right" w:pos="8364" w:leader="none"/>
      </w:tabs>
      <w:rPr/>
    </w:pPr>
    <w:r>
      <w:rPr>
        <w:rFonts w:cs="Arial" w:ascii="Arial" w:hAnsi="Arial"/>
        <w:b/>
        <w:color w:val="000080"/>
      </w:rPr>
      <w:t>Enron Research</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7</w:t>
    </w:r>
    <w:r>
      <w:rPr>
        <w:rStyle w:val="PageNumber"/>
        <w:b/>
        <w:rFonts w:cs="Arial" w:ascii="Arial" w:hAnsi="Arial"/>
        <w:color w:val="000080"/>
      </w:rPr>
      <w:fldChar w:fldCharType="end"/>
    </w:r>
    <w:r>
      <w:rPr>
        <w:rFonts w:cs="Arial" w:ascii="Arial" w:hAnsi="Arial"/>
        <w:b/>
        <w:color w:val="000080"/>
      </w:rPr>
      <w:t xml:space="preserve"> </w:t>
      <w:tab/>
      <w:t xml:space="preserve">Page </w:t>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7</w:t>
    </w:r>
    <w:r>
      <w:rPr>
        <w:rStyle w:val="PageNumber"/>
        <w:b/>
        <w:rFonts w:cs="Arial" w:ascii="Arial" w:hAnsi="Arial"/>
        <w:color w:val="000080"/>
      </w:rPr>
      <w:fldChar w:fldCharType="end"/>
    </w:r>
    <w:r>
      <w:rPr>
        <w:rStyle w:val="PageNumber"/>
        <w:rFonts w:cs="Arial" w:ascii="Arial" w:hAnsi="Arial"/>
        <w:b/>
        <w:color w:val="000080"/>
      </w:rPr>
      <w:t xml:space="preserve"> of </w:t>
    </w:r>
    <w:r>
      <w:rPr>
        <w:b/>
      </w:rPr>
      <w:fldChar w:fldCharType="begin"/>
    </w:r>
    <w:r>
      <w:rPr>
        <w:b/>
      </w:rPr>
      <w:instrText xml:space="preserve"> NUMPAGES \* ARABIC </w:instrText>
    </w:r>
    <w:r>
      <w:rPr>
        <w:b/>
      </w:rPr>
      <w:fldChar w:fldCharType="separate"/>
    </w:r>
    <w:r>
      <w:rPr>
        <w:b/>
      </w:rPr>
      <w:t>7</w:t>
    </w:r>
    <w:r>
      <w:rPr>
        <w:b/>
      </w:rPr>
      <w:fldChar w:fldCharType="end"/>
    </w:r>
  </w:p>
  <w:p>
    <w:pPr>
      <w:pStyle w:val="Footer"/>
      <w:pBdr>
        <w:top w:val="single" w:sz="12" w:space="1" w:color="000080"/>
      </w:pBdr>
      <w:tabs>
        <w:tab w:val="clear" w:pos="4153"/>
        <w:tab w:val="clear" w:pos="8306"/>
        <w:tab w:val="right" w:pos="8364" w:leader="none"/>
      </w:tabs>
      <w:rPr/>
    </w:pPr>
    <w:r>
      <w:rPr>
        <w:rStyle w:val="PageNumber"/>
        <w:rFonts w:cs="Arial" w:ascii="Arial" w:hAnsi="Arial"/>
        <w:i/>
        <w:color w:val="000080"/>
        <w:sz w:val="16"/>
      </w:rPr>
      <w:t>Posting Plus Options</w:t>
      <w:tab/>
      <w:t>Discussion Document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459740" cy="45720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
                  <a:srcRect l="-39" t="-39" r="-39" b="-39"/>
                  <a:stretch>
                    <a:fillRect/>
                  </a:stretch>
                </pic:blipFill>
                <pic:spPr bwMode="auto">
                  <a:xfrm>
                    <a:off x="0" y="0"/>
                    <a:ext cx="459740" cy="4572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459740" cy="45720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39" t="-39" r="-39" b="-39"/>
                  <a:stretch>
                    <a:fillRect/>
                  </a:stretch>
                </pic:blipFill>
                <pic:spPr bwMode="auto">
                  <a:xfrm>
                    <a:off x="0" y="0"/>
                    <a:ext cx="459740" cy="457200"/>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080"/>
        </w:tabs>
        <w:ind w:start="1080" w:hanging="720"/>
      </w:pPr>
      <w:rPr/>
    </w:lvl>
  </w:abstractNum>
  <w:abstractNum w:abstractNumId="3">
    <w:lvl w:ilvl="0">
      <w:start w:val="1"/>
      <w:numFmt w:val="decimal"/>
      <w:lvlText w:val="%1."/>
      <w:lvlJc w:val="start"/>
      <w:pPr>
        <w:tabs>
          <w:tab w:val="num" w:pos="792"/>
        </w:tabs>
        <w:ind w:start="792"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1"/>
  </w:compat>
  <w:docVars>
    <w:docVar w:name="ACTIVE" w:val="Project Name.doc"/>
    <w:docVar w:name="VTCASE" w:val="4"/>
    <w:docVar w:name="VTCommandPending" w:val="N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color w:val="000080"/>
      <w:kern w:val="2"/>
      <w:sz w:val="28"/>
    </w:rPr>
  </w:style>
  <w:style w:type="paragraph" w:styleId="Heading2">
    <w:name w:val="heading 2"/>
    <w:basedOn w:val="Normal"/>
    <w:next w:val="Normal"/>
    <w:qFormat/>
    <w:pPr>
      <w:keepNext w:val="true"/>
      <w:numPr>
        <w:ilvl w:val="1"/>
        <w:numId w:val="1"/>
      </w:numPr>
      <w:outlineLvl w:val="1"/>
    </w:pPr>
    <w:rPr>
      <w:rFonts w:ascii="Arial" w:hAnsi="Arial" w:cs="Arial"/>
      <w:b/>
      <w:color w:val="000080"/>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color w:val="000080"/>
    </w:rPr>
  </w:style>
  <w:style w:type="paragraph" w:styleId="Heading4">
    <w:name w:val="heading 4"/>
    <w:basedOn w:val="Normal"/>
    <w:next w:val="Normal"/>
    <w:qFormat/>
    <w:pPr>
      <w:keepNext w:val="true"/>
      <w:numPr>
        <w:ilvl w:val="3"/>
        <w:numId w:val="1"/>
      </w:numPr>
      <w:outlineLvl w:val="3"/>
    </w:pPr>
    <w:rPr>
      <w:rFonts w:ascii="Arial" w:hAnsi="Arial" w:cs="Arial"/>
      <w:i/>
      <w:color w:val="000080"/>
    </w:rPr>
  </w:style>
  <w:style w:type="paragraph" w:styleId="Heading5">
    <w:name w:val="heading 5"/>
    <w:basedOn w:val="Normal"/>
    <w:next w:val="Normal"/>
    <w:qFormat/>
    <w:pPr>
      <w:keepNext w:val="true"/>
      <w:numPr>
        <w:ilvl w:val="4"/>
        <w:numId w:val="1"/>
      </w:numPr>
      <w:outlineLvl w:val="4"/>
    </w:pPr>
    <w:rPr>
      <w:rFonts w:ascii="Arial" w:hAnsi="Arial" w:cs="Arial"/>
      <w:i/>
      <w:color w:val="000080"/>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4z0">
    <w:name w:val="WW8Num34z0"/>
    <w:qFormat/>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jc w:val="center"/>
    </w:pPr>
    <w:rPr>
      <w:i/>
      <w:sz w:val="56"/>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0" w:start="432" w:end="0"/>
    </w:pPr>
    <w:rPr>
      <w:lang w:val="en-US"/>
    </w:rPr>
  </w:style>
  <w:style w:type="paragraph" w:styleId="Custom2">
    <w:name w:val="Custom 2"/>
    <w:basedOn w:val="Normal"/>
    <w:qFormat/>
    <w:pPr/>
    <w:rPr>
      <w:rFonts w:ascii="Arial" w:hAnsi="Arial" w:cs="Arial"/>
      <w:i/>
    </w:rPr>
  </w:style>
  <w:style w:type="paragraph" w:styleId="FootnoteText">
    <w:name w:val="footnote text"/>
    <w:basedOn w:val="Normal"/>
    <w:pPr/>
    <w:rPr/>
  </w:style>
  <w:style w:type="paragraph" w:styleId="Hidden">
    <w:name w:val="Hidden"/>
    <w:basedOn w:val="Normal"/>
    <w:qFormat/>
    <w:pPr/>
    <w:rPr>
      <w:i/>
      <w:vanish/>
      <w:color w:val="FF0000"/>
    </w:rPr>
  </w:style>
  <w:style w:type="paragraph" w:styleId="TOC1">
    <w:name w:val="toc 1"/>
    <w:basedOn w:val="Normal"/>
    <w:next w:val="Normal"/>
    <w:pPr>
      <w:tabs>
        <w:tab w:val="clear" w:pos="720"/>
        <w:tab w:val="left" w:pos="360" w:leader="none"/>
      </w:tabs>
      <w:spacing w:before="120" w:after="120"/>
    </w:pPr>
    <w:rPr>
      <w:sz w:val="24"/>
      <w:szCs w:val="24"/>
      <w:lang w:val="en-US" w:eastAsia="en-CA"/>
    </w:rPr>
  </w:style>
  <w:style w:type="paragraph" w:styleId="TOC2">
    <w:name w:val="toc 2"/>
    <w:basedOn w:val="Normal"/>
    <w:next w:val="Normal"/>
    <w:pPr>
      <w:ind w:hanging="0" w:start="200" w:end="0"/>
    </w:pPr>
    <w:rPr>
      <w:smallCaps/>
      <w:lang w:val="en-US"/>
    </w:rPr>
  </w:style>
  <w:style w:type="paragraph" w:styleId="BodyText2">
    <w:name w:val="Body Text 2"/>
    <w:basedOn w:val="Normal"/>
    <w:qFormat/>
    <w:pPr/>
    <w:rPr>
      <w:i/>
      <w:lang w:val="en-US"/>
    </w:rPr>
  </w:style>
  <w:style w:type="paragraph" w:styleId="PlainText">
    <w:name w:val="Plain Text"/>
    <w:basedOn w:val="Normal"/>
    <w:qFormat/>
    <w:pPr/>
    <w:rPr>
      <w:rFonts w:ascii="Courier New" w:hAnsi="Courier New" w:cs="Courier New"/>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DiscussionDocTemplate.dot</Template>
  <TotalTime>457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2001-03-07T13:13:00Z</dcterms:created>
  <dc:creator>jdhaliwa</dc:creator>
  <dc:description/>
  <dc:language>en-CA</dc:language>
  <cp:lastModifiedBy>vkamins</cp:lastModifiedBy>
  <cp:lastPrinted>2001-06-07T13:24:00Z</cp:lastPrinted>
  <dcterms:modified xsi:type="dcterms:W3CDTF">2001-06-07T15:54:00Z</dcterms:modified>
  <cp:revision>14</cp:revision>
  <dc:subject/>
  <dc:title>Project Name</dc:title>
</cp:coreProperties>
</file>