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autoSpaceDE w:val="false"/>
        <w:rPr/>
      </w:pPr>
      <w:r>
        <w:rPr>
          <w:b/>
          <w:bCs/>
        </w:rPr>
        <w:t>Request No</w:t>
      </w:r>
      <w:r>
        <w:rPr/>
        <w:t>.</w:t>
        <w:tab/>
        <w:t>PP-DS/AL:001</w:t>
      </w:r>
    </w:p>
    <w:p>
      <w:pPr>
        <w:pStyle w:val="Normal"/>
        <w:autoSpaceDE w:val="false"/>
        <w:rPr/>
      </w:pPr>
      <w:r>
        <w:rPr/>
      </w:r>
    </w:p>
    <w:p>
      <w:pPr>
        <w:pStyle w:val="Normal"/>
        <w:autoSpaceDE w:val="false"/>
        <w:rPr/>
      </w:pPr>
      <w:r>
        <w:rPr>
          <w:b/>
          <w:bCs/>
        </w:rPr>
        <w:t>Request:</w:t>
        <w:tab/>
      </w:r>
      <w:r>
        <w:rPr/>
        <w:t>Exhibit:</w:t>
        <w:tab/>
        <w:t>WP-02-E-DS/AL-01</w:t>
      </w:r>
    </w:p>
    <w:p>
      <w:pPr>
        <w:pStyle w:val="Normal"/>
        <w:autoSpaceDE w:val="false"/>
        <w:ind w:firstLine="720" w:start="720" w:end="0"/>
        <w:rPr/>
      </w:pPr>
      <w:r>
        <w:rPr/>
        <w:t>Witness:</w:t>
        <w:tab/>
        <w:t>Schoenbeck and Bliven</w:t>
      </w:r>
    </w:p>
    <w:p>
      <w:pPr>
        <w:pStyle w:val="Normal"/>
        <w:autoSpaceDE w:val="false"/>
        <w:ind w:firstLine="720" w:start="720" w:end="0"/>
        <w:rPr/>
      </w:pPr>
      <w:r>
        <w:rPr/>
        <w:t>Pages:</w:t>
        <w:tab/>
        <w:tab/>
        <w:t>13 - 14</w:t>
      </w:r>
    </w:p>
    <w:p>
      <w:pPr>
        <w:pStyle w:val="Normal"/>
        <w:autoSpaceDE w:val="false"/>
        <w:rPr/>
      </w:pPr>
      <w:r>
        <w:rPr/>
      </w:r>
    </w:p>
    <w:p>
      <w:pPr>
        <w:pStyle w:val="BodyTextIndent2"/>
        <w:rPr/>
      </w:pPr>
      <w:r>
        <w:rPr/>
        <w:tab/>
        <w:t>Please define what remarketing rights for the DSIs are envisioned by the statement "However, the take-or-pay mitigation now included in Subscription contracts should apply to each customer's Base Tier purchase commitment."</w:t>
      </w:r>
    </w:p>
    <w:p>
      <w:pPr>
        <w:pStyle w:val="Normal"/>
        <w:autoSpaceDE w:val="false"/>
        <w:rPr/>
      </w:pPr>
      <w:r>
        <w:rPr/>
      </w:r>
    </w:p>
    <w:p>
      <w:pPr>
        <w:pStyle w:val="Normal"/>
        <w:autoSpaceDE w:val="false"/>
        <w:rPr>
          <w:b/>
          <w:bCs/>
        </w:rPr>
      </w:pPr>
      <w:r>
        <w:rPr>
          <w:b/>
          <w:bCs/>
        </w:rPr>
      </w:r>
    </w:p>
    <w:p>
      <w:pPr>
        <w:pStyle w:val="Normal"/>
        <w:ind w:hanging="1440" w:start="1440" w:end="0"/>
        <w:rPr/>
      </w:pPr>
      <w:r>
        <w:rPr>
          <w:b/>
          <w:bCs/>
        </w:rPr>
        <w:t>Response:</w:t>
        <w:tab/>
      </w:r>
      <w:r>
        <w:rPr/>
        <w:t>The take-or-pay mitigation provisions in the DSI block sales contracts provide as follows:</w:t>
      </w:r>
    </w:p>
    <w:p>
      <w:pPr>
        <w:pStyle w:val="Normal"/>
        <w:rPr/>
      </w:pPr>
      <w:r>
        <w:rPr/>
      </w:r>
    </w:p>
    <w:p>
      <w:pPr>
        <w:pStyle w:val="Normal"/>
        <w:keepNext w:val="true"/>
        <w:rPr/>
      </w:pPr>
      <w:r>
        <w:rPr>
          <w:b/>
        </w:rPr>
        <w:t>TAKE-OR-PAY MITIGATION/RELIEF FROM TAKE-OR-PAY</w:t>
      </w:r>
      <w:r>
        <w:rPr>
          <w:b/>
          <w:i/>
          <w:color w:val="FF0000"/>
        </w:rPr>
        <w:br/>
      </w:r>
    </w:p>
    <w:p>
      <w:pPr>
        <w:pStyle w:val="Normal"/>
        <w:keepNext w:val="true"/>
        <w:rPr/>
      </w:pPr>
      <w:r>
        <w:rPr/>
        <w:t>(a)</w:t>
        <w:tab/>
      </w:r>
      <w:r>
        <w:rPr>
          <w:b/>
        </w:rPr>
        <w:t>Take-or-Pay Mitigation for Curtailments</w:t>
      </w:r>
    </w:p>
    <w:p>
      <w:pPr>
        <w:pStyle w:val="Normal"/>
        <w:ind w:start="720" w:end="0"/>
        <w:rPr/>
      </w:pPr>
      <w:r>
        <w:rPr/>
        <w:t xml:space="preserve">If </w:t>
      </w:r>
      <w:r>
        <w:rPr>
          <w:color w:val="FF0000"/>
        </w:rPr>
        <w:t>Customer</w:t>
      </w:r>
      <w:r>
        <w:rPr/>
        <w:t xml:space="preserve"> chooses to curtail its purchase obligation pursuant to section 5(a) above, then the following terms and conditions shall apply:</w:t>
      </w:r>
    </w:p>
    <w:p>
      <w:pPr>
        <w:pStyle w:val="Header"/>
        <w:tabs>
          <w:tab w:val="clear" w:pos="4320"/>
          <w:tab w:val="clear" w:pos="8640"/>
        </w:tabs>
        <w:rPr/>
      </w:pPr>
      <w:r>
        <w:rPr/>
      </w:r>
    </w:p>
    <w:p>
      <w:pPr>
        <w:pStyle w:val="Normal"/>
        <w:ind w:start="1440" w:end="0"/>
        <w:rPr/>
      </w:pPr>
      <w:r>
        <w:rPr/>
        <w:t>(1)</w:t>
        <w:tab/>
      </w:r>
      <w:r>
        <w:rPr>
          <w:b/>
        </w:rPr>
        <w:t>Notice of Curtailment</w:t>
      </w:r>
      <w:r>
        <w:rPr/>
        <w:br/>
      </w:r>
      <w:r>
        <w:rPr>
          <w:color w:val="FF0000"/>
        </w:rPr>
        <w:t xml:space="preserve">Customer </w:t>
      </w:r>
      <w:r>
        <w:rPr>
          <w:color w:val="000000"/>
        </w:rPr>
        <w:t xml:space="preserve">shall endeavor to provide notice to BPA at least seven (7) business days in advance of a curtailment; </w:t>
      </w:r>
      <w:r>
        <w:rPr>
          <w:b/>
          <w:color w:val="000000"/>
        </w:rPr>
        <w:t>provided, however,</w:t>
      </w:r>
      <w:r>
        <w:rPr>
          <w:color w:val="FF0000"/>
        </w:rPr>
        <w:t xml:space="preserve"> </w:t>
      </w:r>
      <w:r>
        <w:rPr>
          <w:color w:val="000000"/>
        </w:rPr>
        <w:t>that such notice shall in no event be less than three (3) business days prior to the beginning of a curtailment.  Such notice shall specify the amount of power to be curtailed (Purchase Deficiency) and the duration of the curtailment.  The election to curtail such power, and the amount and duration of such curtailment, may not be changed without BPA’s consent.</w:t>
      </w:r>
    </w:p>
    <w:p>
      <w:pPr>
        <w:pStyle w:val="Normal"/>
        <w:ind w:start="2160" w:end="0"/>
        <w:rPr/>
      </w:pPr>
      <w:r>
        <w:rPr/>
      </w:r>
    </w:p>
    <w:p>
      <w:pPr>
        <w:pStyle w:val="Normal"/>
        <w:keepNext w:val="true"/>
        <w:ind w:start="1440" w:end="0"/>
        <w:rPr/>
      </w:pPr>
      <w:r>
        <w:rPr/>
        <w:t>(2)</w:t>
        <w:tab/>
      </w:r>
      <w:r>
        <w:rPr>
          <w:b/>
        </w:rPr>
        <w:t>Limitation on Damages</w:t>
      </w:r>
    </w:p>
    <w:p>
      <w:pPr>
        <w:pStyle w:val="Normal"/>
        <w:ind w:start="1440" w:end="0"/>
        <w:rPr/>
      </w:pPr>
      <w:r>
        <w:rPr>
          <w:color w:val="FF0000"/>
        </w:rPr>
        <w:t xml:space="preserve">Customer </w:t>
      </w:r>
      <w:r>
        <w:rPr>
          <w:color w:val="000000"/>
        </w:rPr>
        <w:t>shall pay BPA damages for any Purchase Deficiency equal to the amount by which the reasonable market value of such Purchase Deficiency is less than the price of the applicable IP-02 or Indexed Rate.  Following are two options for the calculation of such damages, if any.</w:t>
      </w:r>
    </w:p>
    <w:p>
      <w:pPr>
        <w:pStyle w:val="Normal"/>
        <w:ind w:firstLine="720" w:start="2160" w:end="0"/>
        <w:rPr>
          <w:color w:val="000000"/>
        </w:rPr>
      </w:pPr>
      <w:r>
        <w:rPr>
          <w:color w:val="000000"/>
        </w:rPr>
      </w:r>
    </w:p>
    <w:p>
      <w:pPr>
        <w:pStyle w:val="Normal"/>
        <w:ind w:hanging="630" w:start="2880" w:end="0"/>
        <w:rPr/>
      </w:pPr>
      <w:r>
        <w:rPr>
          <w:color w:val="000000"/>
        </w:rPr>
        <w:t xml:space="preserve">(A) </w:t>
        <w:tab/>
        <w:t xml:space="preserve">Except for circumstances established in section 6(a)(2)(B) below, damages shall be calculated as follows:  </w:t>
      </w:r>
      <w:r>
        <w:rPr/>
        <w:t xml:space="preserve">No later than sixty (60) business days after the end of each Contract Year, BPA shall calculate the reasonable market value of any Purchase Deficiency due to a curtailment, taking into account the differing market values for each day in any month in which there was a Purchase Deficiency during each such Contract Year.  </w:t>
      </w:r>
      <w:r>
        <w:rPr>
          <w:color w:val="FF0000"/>
        </w:rPr>
        <w:t xml:space="preserve">Customer </w:t>
      </w:r>
      <w:r>
        <w:rPr>
          <w:color w:val="000000"/>
        </w:rPr>
        <w:t>shall pay BPA damages equal to the amount by which the sum of the product of the monthly purchase deficiencies and the applicable IP-02 or Indexed Rate exceeds the sum of the product of the monthly purchase deficiencies, and the reasonable market value in each month.  BPA is not obligated to pay Customer the difference when the reasonable market value exceeds the applicable IP-02 or Indexed Rate schedule.</w:t>
      </w:r>
    </w:p>
    <w:p>
      <w:pPr>
        <w:pStyle w:val="Normal"/>
        <w:ind w:firstLine="720" w:start="2160" w:end="0"/>
        <w:rPr>
          <w:color w:val="000000"/>
        </w:rPr>
      </w:pPr>
      <w:r>
        <w:rPr>
          <w:color w:val="000000"/>
        </w:rPr>
      </w:r>
    </w:p>
    <w:p>
      <w:pPr>
        <w:pStyle w:val="BodyTextIndent2"/>
        <w:ind w:hanging="720" w:start="2880" w:end="0"/>
        <w:rPr/>
      </w:pPr>
      <w:r>
        <w:rPr/>
        <w:t xml:space="preserve">(B) </w:t>
        <w:tab/>
        <w:t xml:space="preserve">BPA shall obtain a transactable quote for such power from a third-party.  If </w:t>
      </w:r>
      <w:r>
        <w:rPr>
          <w:color w:val="FF0000"/>
        </w:rPr>
        <w:t xml:space="preserve">Customer </w:t>
      </w:r>
      <w:r>
        <w:rPr>
          <w:color w:val="000000"/>
        </w:rPr>
        <w:t>notifies BPA that such quote is unacceptable within 24 hours after BPA provides</w:t>
      </w:r>
      <w:r>
        <w:rPr>
          <w:color w:val="FF0000"/>
        </w:rPr>
        <w:t xml:space="preserve"> Customer </w:t>
      </w:r>
      <w:r>
        <w:rPr>
          <w:color w:val="000000"/>
        </w:rPr>
        <w:t>such quote, then damages shall be calculated according to 6(a)(2)(A) above.  Otherwise, such</w:t>
      </w:r>
      <w:r>
        <w:rPr/>
        <w:t xml:space="preserve"> quote shall be deemed equal to the reasonable market value of such power for the purpose of calculating damages under this section 6(a)(2)(B).  Further, BPA shall not be obligated to resell the Purchase Deficiency to the third-party that provided the quote and may retain the power or dispose of the power as it chooses.  </w:t>
      </w:r>
      <w:r>
        <w:rPr>
          <w:color w:val="FF0000"/>
        </w:rPr>
        <w:t>Customer</w:t>
      </w:r>
      <w:r>
        <w:rPr/>
        <w:t xml:space="preserve"> shall pay BPA damages equal to the amount by which the sum of the product of the amount of the monthly Purchase Deficiency subject to this election and the applicable IP-02 or Indexed Rate exceeds the reasonable market value established by the quote.  BPA is not obligated to pay </w:t>
      </w:r>
      <w:r>
        <w:rPr>
          <w:color w:val="FF0000"/>
        </w:rPr>
        <w:t>Customer</w:t>
      </w:r>
      <w:r>
        <w:rPr/>
        <w:t xml:space="preserve"> the difference when the reasonable market value exceeds the applicable IP-02 or Indexed Rate schedule.  </w:t>
      </w:r>
    </w:p>
    <w:p>
      <w:pPr>
        <w:pStyle w:val="Normal"/>
        <w:ind w:start="2160" w:end="0"/>
        <w:rPr/>
      </w:pPr>
      <w:r>
        <w:rPr/>
      </w:r>
    </w:p>
    <w:p>
      <w:pPr>
        <w:pStyle w:val="Normal"/>
        <w:keepNext w:val="true"/>
        <w:ind w:hanging="720" w:start="720" w:end="0"/>
        <w:rPr/>
      </w:pPr>
      <w:r>
        <w:rPr/>
        <w:t>(b)</w:t>
        <w:tab/>
      </w:r>
      <w:r>
        <w:rPr>
          <w:b/>
        </w:rPr>
        <w:t>Take-or-Pay Mitigation for Use of Lower Rate Limit Curtailment Take-or-Pay Waiver Option</w:t>
        <w:br/>
      </w:r>
      <w:r>
        <w:rPr/>
        <w:t xml:space="preserve">If </w:t>
      </w:r>
      <w:r>
        <w:rPr>
          <w:color w:val="FF0000"/>
        </w:rPr>
        <w:t>Customer</w:t>
      </w:r>
      <w:r>
        <w:rPr/>
        <w:t xml:space="preserve"> is purchasing under the Indexed Rate, then, for any waivers that occur pursuant to the terms of section 3(b)(5) above, the following provisions shall apply:</w:t>
      </w:r>
    </w:p>
    <w:p>
      <w:pPr>
        <w:pStyle w:val="BodyText21"/>
        <w:rPr/>
      </w:pPr>
      <w:r>
        <w:rPr/>
      </w:r>
    </w:p>
    <w:p>
      <w:pPr>
        <w:pStyle w:val="Normal"/>
        <w:ind w:start="1440" w:end="0"/>
        <w:rPr/>
      </w:pPr>
      <w:r>
        <w:rPr/>
        <w:t>(1)</w:t>
        <w:tab/>
        <w:t>The amount of purchase obligation waived (“Waived Amount”) shall not exceed the amount of Total Plant Load curtailed multiplied by a ratio equal to the Total Plant Load that BPA was serving during the month prior to the curtailment, divided by the Total Plant Load.</w:t>
      </w:r>
    </w:p>
    <w:p>
      <w:pPr>
        <w:pStyle w:val="Normal"/>
        <w:ind w:start="2160" w:end="0"/>
        <w:rPr/>
      </w:pPr>
      <w:r>
        <w:rPr/>
      </w:r>
    </w:p>
    <w:p>
      <w:pPr>
        <w:pStyle w:val="Normal"/>
        <w:ind w:start="1440" w:end="0"/>
        <w:rPr/>
      </w:pPr>
      <w:r>
        <w:rPr/>
        <w:t>(2)</w:t>
        <w:tab/>
        <w:t>The Waived Amount shall be waived for the remaining term of this Agreement, and therefore BPA shall be relieved of its obligation to make available such amount of power for the remaining term of this Agreement, unless otherwise agreed to by the Parties.</w:t>
      </w:r>
    </w:p>
    <w:p>
      <w:pPr>
        <w:pStyle w:val="BodyText21"/>
        <w:rPr/>
      </w:pPr>
      <w:r>
        <w:rPr/>
      </w:r>
    </w:p>
    <w:p>
      <w:pPr>
        <w:pStyle w:val="Normal"/>
        <w:keepNext w:val="true"/>
        <w:rPr/>
      </w:pPr>
      <w:r>
        <w:rPr/>
        <w:t>(c)</w:t>
        <w:tab/>
      </w:r>
      <w:r>
        <w:rPr>
          <w:b/>
        </w:rPr>
        <w:t>Planned Maintenance Outages</w:t>
      </w:r>
    </w:p>
    <w:p>
      <w:pPr>
        <w:pStyle w:val="Normal"/>
        <w:ind w:start="720" w:end="0"/>
        <w:rPr/>
      </w:pPr>
      <w:r>
        <w:rPr/>
        <w:t xml:space="preserve">No less than seven days prior to the beginning of a Planned Maintenance Outage </w:t>
      </w:r>
      <w:r>
        <w:rPr>
          <w:color w:val="FF0000"/>
        </w:rPr>
        <w:t>Customer</w:t>
      </w:r>
      <w:r>
        <w:rPr/>
        <w:t xml:space="preserve"> shall provide BPA with written notice that specifies the duration of the Planned Maintenance Outage and the amount of purchase obligation that is to be reduced.  If </w:t>
      </w:r>
      <w:r>
        <w:rPr>
          <w:color w:val="FF0000"/>
        </w:rPr>
        <w:t>Customer</w:t>
      </w:r>
      <w:r>
        <w:rPr/>
        <w:t xml:space="preserve"> provides BPA with written notice,</w:t>
      </w:r>
      <w:r>
        <w:rPr>
          <w:color w:val="FF0000"/>
        </w:rPr>
        <w:t xml:space="preserve"> Customer</w:t>
      </w:r>
      <w:r>
        <w:rPr/>
        <w:t xml:space="preserve">  may reschedule amounts of Contracted Power that are not received due to a Planned Maintenance Outage.  Such amounts may only be rescheduled during months when the IP</w:t>
        <w:noBreakHyphen/>
        <w:t>02 rate is less than or equal to the rate in effect when the Planned Maintenance Outage occurred.  All other provisions relating to delivery shall be as mutually agreed to by the Parties.</w:t>
      </w:r>
    </w:p>
    <w:p>
      <w:pPr>
        <w:pStyle w:val="Normal"/>
        <w:ind w:hanging="1440" w:start="1440" w:end="0"/>
        <w:rPr/>
      </w:pPr>
      <w:r>
        <w:rPr/>
      </w:r>
    </w:p>
    <w:sectPr>
      <w:headerReference w:type="default" r:id="rId2"/>
      <w:footerReference w:type="default" r:id="rId3"/>
      <w:type w:val="nextPage"/>
      <w:pgSz w:w="12240" w:h="15840"/>
      <w:pgMar w:left="1800" w:right="1800" w:gutter="0" w:header="720" w:top="180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080" w:leader="none"/>
      </w:tabs>
      <w:ind w:hanging="1080" w:start="1080" w:end="0"/>
      <w:rPr/>
    </w:pPr>
    <w:r>
      <w:rPr/>
      <w:t>March 21, 2001</w:t>
    </w:r>
  </w:p>
  <w:p>
    <w:pPr>
      <w:pStyle w:val="Normal"/>
      <w:tabs>
        <w:tab w:val="clear" w:pos="720"/>
        <w:tab w:val="left" w:pos="1080" w:leader="none"/>
      </w:tabs>
      <w:ind w:hanging="1080" w:start="1080" w:end="0"/>
      <w:rPr/>
    </w:pPr>
    <w:r>
      <w:rPr/>
    </w:r>
  </w:p>
  <w:p>
    <w:pPr>
      <w:pStyle w:val="Footer"/>
      <w:tabs>
        <w:tab w:val="left" w:pos="720" w:leader="none"/>
        <w:tab w:val="center" w:pos="4320" w:leader="none"/>
        <w:tab w:val="right" w:pos="8640" w:leader="none"/>
      </w:tabs>
      <w:rPr/>
    </w:pPr>
    <w:r>
      <w:rPr/>
      <w:t>cc:</w:t>
      <w:tab/>
      <w:t>Hearing Clerk</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WP-02 DS Data Response</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6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5">
    <w:name w:val="heading 5"/>
    <w:basedOn w:val="Normal"/>
    <w:next w:val="Normal"/>
    <w:qFormat/>
    <w:pPr>
      <w:keepNext w:val="true"/>
      <w:widowControl w:val="false"/>
      <w:numPr>
        <w:ilvl w:val="4"/>
        <w:numId w:val="1"/>
      </w:numPr>
      <w:outlineLvl w:val="4"/>
    </w:pPr>
    <w:rPr>
      <w:rFonts w:ascii="Arial" w:hAnsi="Arial" w:cs="Arial"/>
      <w:b/>
      <w:color w:val="000000"/>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Question">
    <w:name w:val="Question"/>
    <w:basedOn w:val="Normal"/>
    <w:qFormat/>
    <w:pPr>
      <w:spacing w:before="0" w:after="240"/>
      <w:ind w:hanging="720" w:start="720" w:end="0"/>
    </w:pPr>
    <w:rPr>
      <w:b/>
      <w:sz w:val="28"/>
    </w:rPr>
  </w:style>
  <w:style w:type="paragraph" w:styleId="BodyTextIndent">
    <w:name w:val="Body Text Indent"/>
    <w:basedOn w:val="Normal"/>
    <w:pPr>
      <w:tabs>
        <w:tab w:val="clear" w:pos="720"/>
        <w:tab w:val="left" w:pos="1080" w:leader="none"/>
      </w:tabs>
      <w:ind w:hanging="1080" w:start="10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val="false"/>
    </w:pPr>
    <w:rPr>
      <w:b/>
      <w:sz w:val="22"/>
    </w:rPr>
  </w:style>
  <w:style w:type="paragraph" w:styleId="BodyTextIndent2">
    <w:name w:val="Body Text Indent 2"/>
    <w:basedOn w:val="Normal"/>
    <w:qFormat/>
    <w:pPr>
      <w:autoSpaceDE w:val="false"/>
      <w:ind w:hanging="1440" w:start="1440" w:end="0"/>
    </w:pPr>
    <w:rPr/>
  </w:style>
  <w:style w:type="paragraph" w:styleId="BodyText21">
    <w:name w:val="Body Text 21"/>
    <w:basedOn w:val="Normal"/>
    <w:qFormat/>
    <w:pPr>
      <w:ind w:hanging="720" w:start="1440" w:end="0"/>
    </w:pPr>
    <w:rPr>
      <w:rFonts w:ascii="Century Schoolbook" w:hAnsi="Century Schoolbook" w:cs="Century Schoolbook"/>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2001-03-14T23:23:00Z</dcterms:created>
  <dc:creator>Stephanie Powell</dc:creator>
  <dc:description/>
  <dc:language>en-CA</dc:language>
  <cp:lastModifiedBy>Bill Ferranti</cp:lastModifiedBy>
  <cp:lastPrinted>1999-12-01T10:27:00Z</cp:lastPrinted>
  <dcterms:modified xsi:type="dcterms:W3CDTF">2001-03-15T17:03:00Z</dcterms:modified>
  <cp:revision>5</cp:revision>
  <dc:subject/>
  <dc:title>Request No</dc:title>
</cp:coreProperties>
</file>