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bin" ContentType="application/vnd.openxmlformats-officedocument.oleObject"/>
  <Override PartName="/word/media/image1.wmf" ContentType="image/x-wmf"/>
  <Override PartName="/word/media/image2.wmf" ContentType="image/x-wmf"/>
  <Override PartName="/word/media/image3.png" ContentType="image/png"/>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jc w:val="both"/>
        <w:rPr>
          <w:b/>
          <w:sz w:val="28"/>
        </w:rPr>
      </w:pPr>
      <w:r>
        <w:rPr>
          <w:b/>
          <w:sz w:val="28"/>
        </w:rPr>
        <w:t xml:space="preserve">Introduction </w:t>
      </w:r>
    </w:p>
    <w:p>
      <w:pPr>
        <w:pStyle w:val="Subtitle"/>
        <w:jc w:val="both"/>
        <w:rPr>
          <w:b/>
          <w:i w:val="false"/>
          <w:i w:val="false"/>
          <w:sz w:val="22"/>
        </w:rPr>
      </w:pPr>
      <w:r>
        <w:rPr>
          <w:b/>
          <w:i w:val="false"/>
          <w:sz w:val="22"/>
        </w:rPr>
      </w:r>
    </w:p>
    <w:p>
      <w:pPr>
        <w:pStyle w:val="Subtitle"/>
        <w:jc w:val="both"/>
        <w:rPr/>
      </w:pPr>
      <w:r>
        <w:object w:dxaOrig="7680" w:dyaOrig="486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244.8pt;margin-top:144.05pt;width:244.8pt;height:181.1pt;mso-wrap-distance-left:9.05pt;mso-wrap-distance-right:9.05pt;mso-position-horizontal-relative:text;mso-position-vertical-relative:text" filled="f" o:ole="">
            <v:imagedata r:id="rId3" o:title=""/>
            <w10:wrap type="topAndBottom"/>
          </v:shape>
          <o:OLEObject Type="Embed" ProgID="Excel.Sheet.12" ShapeID="ole_rId2" DrawAspect="Content" ObjectID="_2144392456" r:id="rId2"/>
        </w:object>
      </w:r>
      <w:r>
        <w:rPr>
          <w:i w:val="false"/>
          <w:sz w:val="22"/>
        </w:rPr>
        <w:t>The purpose of this paper is to examine the market forces that drive expectations of foreign exchange rate movements with a special focus on the Thai baht.  Since our last forecast of the Thai baht on May 15,</w:t>
      </w:r>
      <w:r>
        <w:rPr>
          <w:i w:val="false"/>
          <w:sz w:val="22"/>
          <w:vertAlign w:val="superscript"/>
        </w:rPr>
        <w:t xml:space="preserve"> </w:t>
      </w:r>
      <w:r>
        <w:rPr>
          <w:i w:val="false"/>
          <w:sz w:val="22"/>
        </w:rPr>
        <w:t>2000, the Fed raised short-term interest rates by 50 basis points to combat inflationary pressures and to moderate the U.S. economy to a more sustainable growth path.  These U.S. rate hikes have led to exchange rate weakness on a global scale relative to the U.S. dollar, not only with respect to Thailand, whose interest rate differentials with the U.S. have widened substantially, reflecting also an easing of monetary policy by the Thai central bank</w:t>
      </w:r>
      <w:r>
        <w:rPr>
          <w:sz w:val="22"/>
        </w:rPr>
        <w:t xml:space="preserve">.  </w:t>
      </w:r>
      <w:r>
        <w:rPr>
          <w:i w:val="false"/>
          <w:sz w:val="22"/>
        </w:rPr>
        <w:t xml:space="preserve">In addition, the slow pace of corporate and bank debt restructuring in Thailand continues to harm the baht as the country’s credit worthiness has faltered.   </w:t>
      </w:r>
    </w:p>
    <w:p>
      <w:pPr>
        <w:pStyle w:val="Subtitle"/>
        <w:jc w:val="both"/>
        <w:rPr>
          <w:i w:val="false"/>
          <w:i w:val="false"/>
          <w:sz w:val="22"/>
        </w:rPr>
      </w:pPr>
      <w:r>
        <w:rPr>
          <w:i w:val="false"/>
          <w:sz w:val="22"/>
        </w:rPr>
      </w:r>
    </w:p>
    <w:p>
      <w:pPr>
        <w:pStyle w:val="Subtitle"/>
        <w:jc w:val="both"/>
        <w:rPr>
          <w:i w:val="false"/>
          <w:i w:val="false"/>
          <w:sz w:val="22"/>
        </w:rPr>
      </w:pPr>
      <w:r>
        <w:rPr>
          <w:i w:val="false"/>
          <w:sz w:val="22"/>
        </w:rPr>
        <w:t xml:space="preserve">There is no one single factor, economic or financial, that drives currency volatility.  The many factors that influence currency fluctuations and expectations of future rates, while not an exhaustive list, include interest rate differentials, economic growth differentials, relative profits, credit risk, strength of local banking systems, monetary and fiscal policy decisions and the theory of Purchasing Power Parity (PPP).  This theory suggests that relative price levels determine the value of a currency.  The volatility of Thai baht relative to the U.S. dollar has, in summary, been driven by most factors other than price level differentials. </w:t>
      </w:r>
    </w:p>
    <w:p>
      <w:pPr>
        <w:pStyle w:val="Subtitle"/>
        <w:jc w:val="both"/>
        <w:rPr>
          <w:i w:val="false"/>
          <w:i w:val="false"/>
          <w:sz w:val="22"/>
        </w:rPr>
      </w:pPr>
      <w:r>
        <w:rPr>
          <w:i w:val="false"/>
          <w:sz w:val="22"/>
        </w:rPr>
      </w:r>
    </w:p>
    <w:p>
      <w:pPr>
        <w:pStyle w:val="Subtitle"/>
        <w:jc w:val="both"/>
        <w:rPr>
          <w:b/>
          <w:sz w:val="28"/>
        </w:rPr>
      </w:pPr>
      <w:r>
        <w:rPr>
          <w:b/>
          <w:sz w:val="28"/>
        </w:rPr>
        <w:t xml:space="preserve">Purchasing Power Parity – </w:t>
      </w:r>
    </w:p>
    <w:p>
      <w:pPr>
        <w:pStyle w:val="Subtitle"/>
        <w:jc w:val="both"/>
        <w:rPr>
          <w:b/>
          <w:sz w:val="28"/>
        </w:rPr>
      </w:pPr>
      <w:r>
        <w:rPr>
          <w:b/>
          <w:sz w:val="28"/>
        </w:rPr>
        <w:t>The Theory</w:t>
      </w:r>
    </w:p>
    <w:p>
      <w:pPr>
        <w:pStyle w:val="Normal"/>
        <w:jc w:val="both"/>
        <w:rPr>
          <w:b/>
          <w:sz w:val="22"/>
        </w:rPr>
      </w:pPr>
      <w:r>
        <w:rPr>
          <w:b/>
          <w:sz w:val="22"/>
        </w:rPr>
      </w:r>
    </w:p>
    <w:p>
      <w:pPr>
        <w:pStyle w:val="Normal"/>
        <w:jc w:val="both"/>
        <w:rPr>
          <w:sz w:val="22"/>
        </w:rPr>
      </w:pPr>
      <w:r>
        <w:rPr>
          <w:sz w:val="22"/>
        </w:rPr>
        <w:t xml:space="preserve">The proposition of relative PPP states that the percentage change in the nominal exchange rates between two currencies over any period equals the difference between the percentage changes in national price levels.  In other words, the depreciation rate of a local currency’s nominal exchange rate is explained by the inflation differential between the two countries.   For example, inflation in Thailand has exceeded U.S. inflation on average by 1.8 percent since January 1997, which makes Thai goods less competitive relative to American goods in international markets and depresses Thai exports.  According to PPP, the baht should depreciate by 1.85 percent against the dollar to restore the loss of competitiveness of Thai goods by making exports less expensive.  However, the baht has depreciated on average 8.65 percent over the same time period. </w:t>
      </w:r>
    </w:p>
    <w:p>
      <w:pPr>
        <w:pStyle w:val="Normal"/>
        <w:jc w:val="both"/>
        <w:rPr>
          <w:sz w:val="22"/>
        </w:rPr>
      </w:pPr>
      <w:r>
        <w:rPr>
          <w:sz w:val="22"/>
        </w:rPr>
      </w:r>
    </w:p>
    <w:p>
      <w:pPr>
        <w:pStyle w:val="Normal"/>
        <w:jc w:val="both"/>
        <w:rPr>
          <w:sz w:val="22"/>
        </w:rPr>
      </w:pPr>
      <w:r>
        <w:rPr>
          <w:sz w:val="22"/>
        </w:rPr>
        <w:t xml:space="preserve">The lack of a relationship between inflation differentials and exchange rate movements in the case of the Thai baht relative to the U.S. dollar is depicted in Chart 1. </w:t>
      </w:r>
    </w:p>
    <w:p>
      <w:pPr>
        <w:pStyle w:val="Normal"/>
        <w:jc w:val="both"/>
        <w:rPr>
          <w:sz w:val="22"/>
        </w:rPr>
      </w:pPr>
      <w:r>
        <w:rPr>
          <w:sz w:val="22"/>
        </w:rPr>
      </w:r>
    </w:p>
    <w:p>
      <w:pPr>
        <w:pStyle w:val="Normal"/>
        <w:jc w:val="both"/>
        <w:rPr>
          <w:sz w:val="22"/>
        </w:rPr>
      </w:pPr>
      <w:r>
        <w:rPr>
          <w:sz w:val="22"/>
        </w:rPr>
        <w:t>Since the inception of the Asian financial crisis when the baht devalued almost 50 percent after its free float on July 2, 1997, the baht has fluctuated sharply vis-à-vis the U.S. dollar while the difference between U.S. inflation and Thai inflation has remained relatively stable. Exchange rate changes can not be completely explained by price differentials or PPP.  Why?</w:t>
      </w:r>
    </w:p>
    <w:p>
      <w:pPr>
        <w:pStyle w:val="Normal"/>
        <w:jc w:val="both"/>
        <w:rPr>
          <w:sz w:val="22"/>
        </w:rPr>
      </w:pPr>
      <w:r>
        <w:rPr>
          <w:sz w:val="22"/>
        </w:rPr>
      </w:r>
    </w:p>
    <w:p>
      <w:pPr>
        <w:pStyle w:val="Subtitle"/>
        <w:jc w:val="both"/>
        <w:rPr>
          <w:b/>
        </w:rPr>
      </w:pPr>
      <w:r>
        <w:rPr>
          <w:b/>
        </w:rPr>
        <w:t>Assumptions of PPP: A Challenge to the Theory?</w:t>
      </w:r>
    </w:p>
    <w:p>
      <w:pPr>
        <w:pStyle w:val="Subtitle"/>
        <w:jc w:val="both"/>
        <w:rPr>
          <w:b/>
          <w:sz w:val="22"/>
        </w:rPr>
      </w:pPr>
      <w:r>
        <w:rPr>
          <w:b/>
          <w:sz w:val="22"/>
        </w:rPr>
      </w:r>
    </w:p>
    <w:p>
      <w:pPr>
        <w:pStyle w:val="Heading2"/>
        <w:spacing w:lineRule="auto" w:line="240"/>
        <w:ind w:hanging="0" w:start="0"/>
        <w:jc w:val="both"/>
        <w:rPr>
          <w:b/>
          <w:sz w:val="22"/>
        </w:rPr>
      </w:pPr>
      <w:r>
        <w:rPr>
          <w:b/>
          <w:sz w:val="22"/>
        </w:rPr>
        <w:t xml:space="preserve">Consumer Preferences </w:t>
      </w:r>
    </w:p>
    <w:p>
      <w:pPr>
        <w:pStyle w:val="Normal"/>
        <w:jc w:val="both"/>
        <w:rPr>
          <w:b/>
          <w:sz w:val="22"/>
        </w:rPr>
      </w:pPr>
      <w:r>
        <w:rPr>
          <w:b/>
          <w:sz w:val="22"/>
        </w:rPr>
      </w:r>
    </w:p>
    <w:p>
      <w:pPr>
        <w:pStyle w:val="Normal"/>
        <w:pBdr/>
        <w:jc w:val="both"/>
        <w:rPr/>
      </w:pPr>
      <w:r>
        <w:rPr>
          <w:sz w:val="22"/>
        </w:rPr>
        <w:t>The theory of PPP, which attempts to explain the long-run equilibrium of exchange rates, is based upon a number of critical assumptions that in many instances do not hold in the short run.  First, national governments, in practice, do not measure consumer prices using an internationally standardized basket of consumer goods.  Also</w:t>
      </w:r>
      <w:r>
        <w:rPr>
          <w:b/>
          <w:sz w:val="22"/>
        </w:rPr>
        <w:t xml:space="preserve">, </w:t>
      </w:r>
      <w:r>
        <w:rPr>
          <w:sz w:val="22"/>
        </w:rPr>
        <w:t>due to differences in consumer preferences and economic development stages, every country’s consumption basket will be unique.  For example, GNP per capita income in the U.S. is $30,600 per year while the GNP per capita income in Thailand is $1,960.</w:t>
      </w:r>
      <w:r>
        <w:rPr>
          <w:rStyle w:val="FootnoteCharacters"/>
          <w:rStyle w:val="FootnoteReference"/>
          <w:sz w:val="22"/>
        </w:rPr>
        <w:footnoteReference w:id="2"/>
      </w:r>
      <w:r>
        <w:rPr>
          <w:sz w:val="22"/>
        </w:rPr>
        <w:t xml:space="preserve"> The U.S. consumer spends more income on televisions, videocassette recorders, palm pilots and computer equipment while consumers in Thailand have far less disposable income to spend on these luxury items.  Clearly, the consumption basket of the US consumer and the component weights of each category of goods in the overall economy (e.g. how much of each item is consumed) will differ substantially from the measures in Thailand.</w:t>
      </w:r>
    </w:p>
    <w:p>
      <w:pPr>
        <w:pStyle w:val="Normal"/>
        <w:jc w:val="both"/>
        <w:rPr>
          <w:sz w:val="22"/>
        </w:rPr>
      </w:pPr>
      <w:r>
        <w:rPr>
          <w:sz w:val="22"/>
        </w:rPr>
      </w:r>
    </w:p>
    <w:p>
      <w:pPr>
        <w:pStyle w:val="Heading2"/>
        <w:spacing w:lineRule="auto" w:line="240"/>
        <w:ind w:hanging="0" w:start="0"/>
        <w:jc w:val="both"/>
        <w:rPr>
          <w:b/>
          <w:sz w:val="22"/>
        </w:rPr>
      </w:pPr>
      <w:r>
        <w:rPr>
          <w:b/>
          <w:sz w:val="22"/>
        </w:rPr>
        <w:t>Per Capita Income Measured in PPP</w:t>
      </w:r>
    </w:p>
    <w:p>
      <w:pPr>
        <w:pStyle w:val="Normal"/>
        <w:jc w:val="both"/>
        <w:rPr>
          <w:b/>
          <w:sz w:val="22"/>
        </w:rPr>
      </w:pPr>
      <w:r>
        <w:rPr>
          <w:b/>
          <w:sz w:val="22"/>
        </w:rPr>
      </w:r>
    </w:p>
    <w:p>
      <w:pPr>
        <w:pStyle w:val="Normal"/>
        <w:pBdr/>
        <w:jc w:val="both"/>
        <w:rPr/>
      </w:pPr>
      <w:r>
        <w:rPr>
          <w:sz w:val="22"/>
        </w:rPr>
        <w:t xml:space="preserve">Moreover, because nominal exchange rates do not always reflect international differences in relative prices, the World Bank calculates GNP per capita both in </w:t>
      </w:r>
      <w:r>
        <w:rPr>
          <w:i/>
          <w:sz w:val="22"/>
        </w:rPr>
        <w:t xml:space="preserve">U.S. </w:t>
      </w:r>
      <w:r>
        <w:rPr>
          <w:sz w:val="22"/>
        </w:rPr>
        <w:t xml:space="preserve">dollars and in </w:t>
      </w:r>
      <w:r>
        <w:rPr>
          <w:i/>
          <w:sz w:val="22"/>
        </w:rPr>
        <w:t xml:space="preserve">international </w:t>
      </w:r>
      <w:r>
        <w:rPr>
          <w:sz w:val="22"/>
        </w:rPr>
        <w:t>dollars in its annual “Development Report” by using PPP exchange rates.  At the PPP rate, one international dollar has the same purchasing power over domestic GNP that the U.S. dollar has over U.S. GNP.  PPP rates allow a standard comparison of real price levels between countries, just as conventional price indices allow comparison of real values over time. Using these definitions, GNP per capita in U.S. dollars in Thailand is $1,960 while the Thai per capita GNP measured in PPP is $5,599.</w:t>
      </w:r>
      <w:r>
        <w:rPr>
          <w:rStyle w:val="FootnoteCharacters"/>
          <w:rStyle w:val="FootnoteReference"/>
          <w:sz w:val="22"/>
        </w:rPr>
        <w:footnoteReference w:id="3"/>
      </w:r>
      <w:r>
        <w:rPr>
          <w:sz w:val="22"/>
        </w:rPr>
        <w:t xml:space="preserve"> If one assumes foreign exchange rates reflect PPP, these two GNP per capita measures would equal. </w:t>
      </w:r>
    </w:p>
    <w:p>
      <w:pPr>
        <w:pStyle w:val="Normal"/>
        <w:jc w:val="both"/>
        <w:rPr>
          <w:sz w:val="22"/>
        </w:rPr>
      </w:pPr>
      <w:r>
        <w:rPr>
          <w:sz w:val="22"/>
        </w:rPr>
      </w:r>
    </w:p>
    <w:p>
      <w:pPr>
        <w:pStyle w:val="Heading2"/>
        <w:spacing w:lineRule="auto" w:line="240"/>
        <w:ind w:hanging="0" w:start="0"/>
        <w:jc w:val="both"/>
        <w:rPr>
          <w:b/>
          <w:sz w:val="22"/>
        </w:rPr>
      </w:pPr>
      <w:r>
        <w:rPr>
          <w:b/>
          <w:sz w:val="22"/>
        </w:rPr>
        <w:t>Economic Development</w:t>
      </w:r>
    </w:p>
    <w:p>
      <w:pPr>
        <w:pStyle w:val="Normal"/>
        <w:jc w:val="both"/>
        <w:rPr>
          <w:b/>
          <w:sz w:val="22"/>
        </w:rPr>
      </w:pPr>
      <w:r>
        <w:rPr>
          <w:b/>
          <w:sz w:val="22"/>
        </w:rPr>
      </w:r>
    </w:p>
    <w:p>
      <w:pPr>
        <w:pStyle w:val="Normal"/>
        <w:jc w:val="both"/>
        <w:rPr/>
      </w:pPr>
      <w:r>
        <w:rPr>
          <w:sz w:val="22"/>
        </w:rPr>
        <w:t>Second, trade barriers, such as tariffs and quotas, exist between countries that distort local market prices. Most developing countries impose very high tariffs on items they don’t produce at home in order to maintain a low import bill on consumption goods or to protect infant industries.  These protectionist trade policies allow the country’s scarce foreign exchange reserves to be deployed toward purchases of manufacturing goods that help foster economic development</w:t>
      </w:r>
      <w:r>
        <w:rPr>
          <w:b/>
          <w:sz w:val="22"/>
        </w:rPr>
        <w:t xml:space="preserve">, </w:t>
      </w:r>
      <w:r>
        <w:rPr>
          <w:sz w:val="22"/>
        </w:rPr>
        <w:t xml:space="preserve">build domestic industry and develop future export capacity.  For example, as the driver of global technological development, the U.S. economy is much further developed than that of Thailand.  While the U.S. is a modern, high-tech, capital-intensive economy, Thailand, on the other hand, produces low to medium valued-added products and has an economy in which 50 percent of the population relies on the agricultural sector for income. </w:t>
      </w:r>
    </w:p>
    <w:p>
      <w:pPr>
        <w:pStyle w:val="Normal"/>
        <w:jc w:val="both"/>
        <w:rPr>
          <w:sz w:val="22"/>
        </w:rPr>
      </w:pPr>
      <w:r>
        <w:rPr>
          <w:sz w:val="22"/>
        </w:rPr>
      </w:r>
    </w:p>
    <w:p>
      <w:pPr>
        <w:pStyle w:val="Heading2"/>
        <w:spacing w:lineRule="auto" w:line="240"/>
        <w:ind w:hanging="0" w:start="0"/>
        <w:jc w:val="both"/>
        <w:rPr>
          <w:b/>
          <w:sz w:val="22"/>
        </w:rPr>
      </w:pPr>
      <w:r>
        <w:rPr>
          <w:b/>
          <w:sz w:val="22"/>
        </w:rPr>
        <w:t>Subsidies</w:t>
      </w:r>
    </w:p>
    <w:p>
      <w:pPr>
        <w:pStyle w:val="Normal"/>
        <w:jc w:val="both"/>
        <w:rPr>
          <w:b/>
          <w:sz w:val="22"/>
        </w:rPr>
      </w:pPr>
      <w:r>
        <w:rPr>
          <w:b/>
          <w:sz w:val="22"/>
        </w:rPr>
      </w:r>
    </w:p>
    <w:p>
      <w:pPr>
        <w:pStyle w:val="Normal"/>
        <w:jc w:val="both"/>
        <w:rPr>
          <w:sz w:val="22"/>
        </w:rPr>
      </w:pPr>
      <w:r>
        <w:rPr>
          <w:sz w:val="22"/>
        </w:rPr>
        <w:t xml:space="preserve">Third, government subsidies that shield local consumers from price volatility in world commodity markets also distort local market prices. In addition, transportation costs associated with the shipment of goods to foreign export markets cause the prices of goods to vary across countries.   In all, trade restrictions, transport costs and government subsidies weaken the basis of PPP by allowing the purchasing power of a given currency to differ more widely from country to country.  </w:t>
      </w:r>
    </w:p>
    <w:p>
      <w:pPr>
        <w:pStyle w:val="Normal"/>
        <w:jc w:val="both"/>
        <w:rPr>
          <w:sz w:val="22"/>
        </w:rPr>
      </w:pPr>
      <w:r>
        <w:rPr>
          <w:sz w:val="22"/>
        </w:rPr>
      </w:r>
    </w:p>
    <w:p>
      <w:pPr>
        <w:pStyle w:val="Normal"/>
        <w:jc w:val="both"/>
        <w:rPr>
          <w:sz w:val="22"/>
        </w:rPr>
      </w:pPr>
      <w:r>
        <w:rPr>
          <w:sz w:val="22"/>
        </w:rPr>
        <w:t xml:space="preserve">Finally, the PPP theory in general fails to predict accurately the movements of future exchange rates not only because the consumption baskets of the two countries differ, but also because some goods made and sold at home are not traded on international competitive markets and because many goods are non-tradable.   This conclusion is especially true in a market of floating exchange rates.  The prices of non-tradable goods or services are not linked internationally (i.e. haircuts) and are determined entirely by domestic demand and supply conditions. </w:t>
      </w:r>
    </w:p>
    <w:p>
      <w:pPr>
        <w:pStyle w:val="Normal"/>
        <w:jc w:val="both"/>
        <w:rPr>
          <w:color w:val="FF0000"/>
          <w:sz w:val="22"/>
        </w:rPr>
      </w:pPr>
      <w:r>
        <w:rPr>
          <w:color w:val="FF0000"/>
          <w:sz w:val="22"/>
        </w:rPr>
      </w:r>
    </w:p>
    <w:p>
      <w:pPr>
        <w:pStyle w:val="Normal"/>
        <w:jc w:val="both"/>
        <w:rPr>
          <w:sz w:val="22"/>
        </w:rPr>
      </w:pPr>
      <w:r>
        <w:rPr>
          <w:sz w:val="22"/>
        </w:rPr>
        <w:t>All these factors combined weaken the argument of PPP as the sole determinant of foreign exchange rates.</w:t>
      </w:r>
    </w:p>
    <w:p>
      <w:pPr>
        <w:pStyle w:val="Header"/>
        <w:tabs>
          <w:tab w:val="clear" w:pos="4320"/>
          <w:tab w:val="clear" w:pos="8640"/>
        </w:tabs>
        <w:jc w:val="both"/>
        <w:rPr>
          <w:sz w:val="22"/>
        </w:rPr>
      </w:pPr>
      <w:r>
        <w:rPr>
          <w:sz w:val="22"/>
        </w:rPr>
      </w:r>
    </w:p>
    <w:p>
      <w:pPr>
        <w:pStyle w:val="Header"/>
        <w:tabs>
          <w:tab w:val="clear" w:pos="4320"/>
          <w:tab w:val="clear" w:pos="8640"/>
        </w:tabs>
        <w:jc w:val="both"/>
        <w:rPr>
          <w:sz w:val="22"/>
        </w:rPr>
      </w:pPr>
      <w:r>
        <w:rPr>
          <w:sz w:val="22"/>
        </w:rPr>
      </w:r>
    </w:p>
    <w:p>
      <w:pPr>
        <w:pStyle w:val="Header"/>
        <w:tabs>
          <w:tab w:val="clear" w:pos="4320"/>
          <w:tab w:val="clear" w:pos="8640"/>
        </w:tabs>
        <w:jc w:val="both"/>
        <w:rPr>
          <w:sz w:val="22"/>
        </w:rPr>
      </w:pPr>
      <w:r>
        <w:rPr>
          <w:sz w:val="22"/>
        </w:rPr>
      </w:r>
    </w:p>
    <w:p>
      <w:pPr>
        <w:pStyle w:val="Header"/>
        <w:tabs>
          <w:tab w:val="clear" w:pos="4320"/>
          <w:tab w:val="clear" w:pos="8640"/>
        </w:tabs>
        <w:jc w:val="both"/>
        <w:rPr>
          <w:sz w:val="22"/>
        </w:rPr>
      </w:pPr>
      <w:r>
        <w:rPr>
          <w:sz w:val="22"/>
        </w:rPr>
      </w:r>
    </w:p>
    <w:p>
      <w:pPr>
        <w:pStyle w:val="Heading1"/>
        <w:ind w:hanging="0" w:start="0"/>
        <w:jc w:val="both"/>
        <w:rPr>
          <w:b/>
          <w:sz w:val="28"/>
        </w:rPr>
      </w:pPr>
      <w:r>
        <w:rPr>
          <w:b/>
          <w:sz w:val="28"/>
        </w:rPr>
        <w:t xml:space="preserve">Alternatives to PPP </w:t>
      </w:r>
    </w:p>
    <w:p>
      <w:pPr>
        <w:pStyle w:val="Normal"/>
        <w:jc w:val="both"/>
        <w:rPr>
          <w:b/>
          <w:sz w:val="22"/>
        </w:rPr>
      </w:pPr>
      <w:r>
        <w:rPr>
          <w:b/>
          <w:sz w:val="22"/>
        </w:rPr>
      </w:r>
    </w:p>
    <w:p>
      <w:pPr>
        <w:pStyle w:val="Normal"/>
        <w:jc w:val="both"/>
        <w:rPr/>
      </w:pPr>
      <w:r>
        <w:object w:dxaOrig="5121" w:dyaOrig="4097">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244.8pt;margin-top:7.25pt;width:266.35pt;height:199.45pt;mso-wrap-distance-left:9.05pt;mso-wrap-distance-right:9.05pt;mso-position-horizontal-relative:text;mso-position-vertical-relative:text" filled="f" o:ole="">
            <v:imagedata r:id="rId5" o:title=""/>
            <w10:wrap type="topAndBottom"/>
          </v:shape>
          <o:OLEObject Type="Embed" ProgID="Excel.Sheet.12" ShapeID="ole_rId4" DrawAspect="Content" ObjectID="_927396739" r:id="rId4"/>
        </w:object>
      </w:r>
      <w:r>
        <w:rPr>
          <w:sz w:val="22"/>
        </w:rPr>
        <w:t>Expectations of future foreign exchange rates are connected to a variety of factors, including economic growth differentials, local and regional government monetary and fiscal policies, credit risk, relative profits, and interest rate differentials.  For example, as the rate of return on U.S. dollar-denominated assets rises relative to the return on local currency assets, such as Thai baht-denominated securities, demand for dollars rises causing an appreciation of the US dollar relative to the baht. Also, current and anticipated monetary and fiscal policies will have a greater impact on the present and future exchange rate. Expectations about future exchange rates depend on assessments of the future consequences of a country’s current economic fundamentals and on expectations about future fundamentals based on current assessments of political and economic prospects.</w:t>
      </w:r>
      <w:r>
        <w:rPr>
          <w:rStyle w:val="FootnoteCharacters"/>
          <w:rStyle w:val="FootnoteReference"/>
          <w:sz w:val="22"/>
        </w:rPr>
        <w:footnoteReference w:id="4"/>
      </w:r>
      <w:r>
        <w:rPr>
          <w:sz w:val="22"/>
        </w:rPr>
        <w:t xml:space="preserve">  Additionally, not all countries have the same risk premium embedded in their exchange rate.  A risk premium captures a country’s risk of default. </w:t>
      </w:r>
    </w:p>
    <w:p>
      <w:pPr>
        <w:pStyle w:val="Normal"/>
        <w:jc w:val="both"/>
        <w:rPr>
          <w:b/>
          <w:sz w:val="22"/>
        </w:rPr>
      </w:pPr>
      <w:r>
        <w:rPr>
          <w:b/>
          <w:sz w:val="22"/>
        </w:rPr>
      </w:r>
    </w:p>
    <w:p>
      <w:pPr>
        <w:pStyle w:val="Heading2"/>
        <w:spacing w:lineRule="auto" w:line="240"/>
        <w:ind w:hanging="0" w:start="0"/>
        <w:jc w:val="both"/>
        <w:rPr>
          <w:b/>
          <w:sz w:val="22"/>
        </w:rPr>
      </w:pPr>
      <w:r>
        <w:rPr>
          <w:b/>
          <w:sz w:val="22"/>
        </w:rPr>
        <w:t>Interest Rate Differentials are the Main Reason for Baht Weakness</w:t>
      </w:r>
    </w:p>
    <w:p>
      <w:pPr>
        <w:pStyle w:val="Normal"/>
        <w:jc w:val="both"/>
        <w:rPr>
          <w:b/>
          <w:sz w:val="22"/>
        </w:rPr>
      </w:pPr>
      <w:r>
        <w:rPr>
          <w:b/>
          <w:sz w:val="22"/>
        </w:rPr>
      </w:r>
    </w:p>
    <w:p>
      <w:pPr>
        <w:pStyle w:val="Normal"/>
        <w:jc w:val="both"/>
        <w:rPr/>
      </w:pPr>
      <w:r>
        <w:rPr>
          <w:sz w:val="22"/>
        </w:rPr>
        <w:t>Interest rate differentials have a stronger relationship to exchange rate volatility than is depicted by PPP.  This relationship is captured in Chart 2.  The six interest rate hikes totaling 175 basis points begun by the U.S. Federal Reserve in June 1999 have widened the interest rate differential between the two countries.  Higher U.S. interest rates, coupled with strong U.S. growth rates and a favorable economic outlook, have attracted large amounts of portfolio and long-term investment capital from foreign investors to the U.S. through international mergers and acquisitions of American companies and investment in the U.S. stock market.  The U.S. was the largest recipient of foreign direct investment in 1999 with inflows of $276 billion.</w:t>
      </w:r>
      <w:r>
        <w:rPr>
          <w:rStyle w:val="FootnoteCharacters"/>
          <w:rStyle w:val="FootnoteReference"/>
          <w:sz w:val="22"/>
        </w:rPr>
        <w:footnoteReference w:id="5"/>
      </w:r>
      <w:r>
        <w:rPr>
          <w:sz w:val="22"/>
        </w:rPr>
        <w:t xml:space="preserve">  These features of a strong American economy continue to be the key drivers behind the strength of the U.S. dollar in global currency markets. </w:t>
      </w:r>
    </w:p>
    <w:p>
      <w:pPr>
        <w:pStyle w:val="Normal"/>
        <w:jc w:val="both"/>
        <w:rPr>
          <w:sz w:val="22"/>
        </w:rPr>
      </w:pPr>
      <w:r>
        <w:rPr>
          <w:sz w:val="22"/>
        </w:rPr>
      </w:r>
    </w:p>
    <w:p>
      <w:pPr>
        <w:pStyle w:val="Header"/>
        <w:tabs>
          <w:tab w:val="clear" w:pos="4320"/>
          <w:tab w:val="clear" w:pos="8640"/>
        </w:tabs>
        <w:jc w:val="both"/>
        <w:rPr>
          <w:b/>
          <w:sz w:val="22"/>
          <w:u w:val="single"/>
        </w:rPr>
      </w:pPr>
      <w:r>
        <w:rPr>
          <w:b/>
          <w:sz w:val="22"/>
          <w:u w:val="single"/>
        </w:rPr>
        <w:t>Slow Pace of Debt Restructuring Is Also Causing Baht Weakness</w:t>
      </w:r>
    </w:p>
    <w:p>
      <w:pPr>
        <w:pStyle w:val="Header"/>
        <w:tabs>
          <w:tab w:val="clear" w:pos="4320"/>
          <w:tab w:val="clear" w:pos="8640"/>
        </w:tabs>
        <w:jc w:val="both"/>
        <w:rPr>
          <w:b/>
          <w:sz w:val="22"/>
          <w:u w:val="single"/>
        </w:rPr>
      </w:pPr>
      <w:r>
        <w:rPr>
          <w:b/>
          <w:sz w:val="22"/>
          <w:u w:val="single"/>
        </w:rPr>
      </w:r>
    </w:p>
    <w:p>
      <w:pPr>
        <w:pStyle w:val="Normal"/>
        <w:jc w:val="both"/>
        <w:rPr>
          <w:sz w:val="22"/>
        </w:rPr>
      </w:pPr>
      <w:r>
        <w:rPr>
          <w:sz w:val="22"/>
        </w:rPr>
        <w:t xml:space="preserve">In addition to interest rate differentials that favor U.S. assets, the perceptions of financial institutions, multinational firms and the judgment of currency traders regarding counterparty credit risk also drive exchange rate movements. The severity of the Thai banking crisis and the delay in addressing non-performing loans (NPLs) only exacerbate the weakness of the baht.  Also, to ease the debt repayment burden of the corporate sector and encourage banks to restructure their NPLs, the Bank of Thailand has lowered local interest rates from 4.0 percent to 1.5 percent between the end of 1998 and September 2000 and is expected to keep rates low. Because the amount of restructured debt is at its lowest level since January 2000, interest rates may remain low in Thailand.   And, although the Corporate Debt Restructuring Advisory Committee (CDRAC) has helped advance slowly the corporate debt restructuring process and lower NPLs, many measures are seen as temporary (e.g. involving extension of payment terms) and don’t go far enough yet to actually restructure loan agreements. The government-backed framework of the CDRAC to promote voluntary out-of-court debt workouts, more effective bankruptcy laws and regulatory forbearance are also helping to restructure corporate debt but the election cycle has distracted the government and stalled pressing structural reforms and legislative actions in this area.  </w:t>
      </w:r>
    </w:p>
    <w:p>
      <w:pPr>
        <w:pStyle w:val="Normal"/>
        <w:jc w:val="both"/>
        <w:rPr>
          <w:sz w:val="22"/>
        </w:rPr>
      </w:pPr>
      <w:r>
        <w:rPr>
          <w:sz w:val="22"/>
        </w:rPr>
      </w:r>
    </w:p>
    <w:p>
      <w:pPr>
        <w:pStyle w:val="Normal"/>
        <w:jc w:val="both"/>
        <w:rPr>
          <w:sz w:val="22"/>
        </w:rPr>
      </w:pPr>
      <w:r>
        <w:rPr>
          <w:sz w:val="22"/>
        </w:rPr>
        <w:t>Regional economic and political instability also influence the volatility of the Thai baht as many Asian currencies fall together in response to neighboring civil unrest, government corruption, political and fiscal mismanagement and regional economic growth and trade dependencies.</w:t>
      </w:r>
    </w:p>
    <w:p>
      <w:pPr>
        <w:pStyle w:val="Normal"/>
        <w:jc w:val="both"/>
        <w:rPr>
          <w:sz w:val="22"/>
        </w:rPr>
      </w:pPr>
      <w:r>
        <w:rPr>
          <w:sz w:val="22"/>
        </w:rPr>
      </w:r>
    </w:p>
    <w:p>
      <w:pPr>
        <w:pStyle w:val="Heading3"/>
        <w:ind w:hanging="0" w:start="0"/>
        <w:jc w:val="both"/>
        <w:rPr/>
      </w:pPr>
      <w:r>
        <w:rPr/>
        <w:t>Summary</w:t>
      </w:r>
    </w:p>
    <w:p>
      <w:pPr>
        <w:pStyle w:val="Normal"/>
        <w:jc w:val="both"/>
        <w:rPr>
          <w:b/>
          <w:i/>
          <w:i/>
          <w:sz w:val="28"/>
        </w:rPr>
      </w:pPr>
      <w:r>
        <w:rPr>
          <w:b/>
          <w:i/>
          <w:sz w:val="28"/>
        </w:rPr>
      </w:r>
    </w:p>
    <w:p>
      <w:pPr>
        <w:pStyle w:val="Normal"/>
        <w:jc w:val="both"/>
        <w:rPr/>
      </w:pPr>
      <w:r>
        <w:rPr>
          <w:sz w:val="22"/>
        </w:rPr>
        <w:t>Volatility in exchange rates are influenced by a number of factors including short-term market expectations regarding real interest rate differentials, investor concern over credit risk, monetary and fiscal policy decisions, balance of payment problems and economic growth prospects.   In the case of the baht, the higher return on U.S. assets relative to Thai assets caused investors to sell baht and buy dollars.  The currency weakness is also attributable to the greater country default risk premium arising from deep concerns over Thailand’s capacity to repay its debt obligations.  International investors are concerned about the timing and expected duration of the banking system cleanup and the lack of progress toward successful legislation of bankruptcy laws.  In response to all these concerns, the baht has depreciated by 5.9 percent relative to the dollar in the foreign exchange market since May 15, 2000 through September 14</w:t>
      </w:r>
      <w:r>
        <w:rPr>
          <w:sz w:val="22"/>
          <w:vertAlign w:val="superscript"/>
        </w:rPr>
        <w:t>th</w:t>
      </w:r>
      <w:r>
        <w:rPr>
          <w:sz w:val="22"/>
        </w:rPr>
        <w:t>, 2000. Our forecast on September 14</w:t>
      </w:r>
      <w:r>
        <w:rPr>
          <w:sz w:val="22"/>
          <w:vertAlign w:val="superscript"/>
        </w:rPr>
        <w:t>th</w:t>
      </w:r>
      <w:r>
        <w:rPr/>
        <w:t>, 2000 reflects the strength of the U.S. dollar and the weakness of the baht due to higher returns on U.S. assets, the U.S. economic growth outlook, regional currency uncertainty, as well as the extra country risk premium due to deterioration of the Thai banking system.</w:t>
      </w:r>
    </w:p>
    <w:p>
      <w:pPr>
        <w:sectPr>
          <w:headerReference w:type="default" r:id="rId6"/>
          <w:footerReference w:type="default" r:id="rId7"/>
          <w:footnotePr>
            <w:numFmt w:val="decimal"/>
          </w:footnotePr>
          <w:type w:val="continuous"/>
          <w:pgSz w:w="12240" w:h="15840"/>
          <w:pgMar w:left="1440" w:right="1440" w:gutter="0" w:header="720" w:top="1440" w:footer="720" w:bottom="1440"/>
          <w:cols w:num="2" w:space="720" w:equalWidth="true" w:sep="false"/>
          <w:formProt w:val="false"/>
          <w:textDirection w:val="lrTb"/>
          <w:docGrid w:type="default" w:linePitch="360" w:charSpace="0"/>
        </w:sectPr>
      </w:pPr>
    </w:p>
    <w:p>
      <w:pPr>
        <w:pStyle w:val="Header"/>
        <w:tabs>
          <w:tab w:val="clear" w:pos="4320"/>
          <w:tab w:val="clear" w:pos="8640"/>
        </w:tabs>
        <w:rPr/>
      </w:pPr>
      <w:r>
        <w:rPr/>
      </w:r>
    </w:p>
    <w:sectPr>
      <w:footnotePr>
        <w:numFmt w:val="decimal"/>
      </w:footnotePr>
      <w:type w:val="continuous"/>
      <w:pgSz w:w="12240" w:h="15840"/>
      <w:pgMar w:left="1800" w:right="1800" w:gutter="0" w:header="720" w:top="1440" w:footer="720" w:bottom="1440"/>
      <w:cols w:num="2" w:space="720"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sz w:val="20"/>
      </w:rPr>
      <w:t xml:space="preserve">Prepared by: Maureen Raymond-Castañeda and Gwyn E. Koepke </w:t>
      <w:tab/>
      <w:t>September 20, 2000</w:t>
    </w:r>
  </w:p>
  <w:p>
    <w:pPr>
      <w:pStyle w:val="Footer"/>
      <w:rPr/>
    </w:pPr>
    <w:r>
      <w:rPr>
        <w:sz w:val="20"/>
      </w:rPr>
      <w:t xml:space="preserve"> </w:t>
    </w: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 ARABIC </w:instrText>
    </w:r>
    <w:r>
      <w:rPr>
        <w:rStyle w:val="PageNumber"/>
        <w:sz w:val="20"/>
      </w:rPr>
      <w:fldChar w:fldCharType="separate"/>
    </w:r>
    <w:r>
      <w:rPr>
        <w:rStyle w:val="PageNumber"/>
        <w:sz w:val="20"/>
      </w:rPr>
      <w:t>4</w:t>
    </w:r>
    <w:r>
      <w:rPr>
        <w:rStyle w:val="PageNumber"/>
        <w:sz w:val="20"/>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16"/>
        </w:rPr>
        <w:t xml:space="preserve"> </w:t>
      </w:r>
      <w:r>
        <w:rPr>
          <w:sz w:val="16"/>
        </w:rPr>
        <w:t>World Bank Development Report 2000/2001, World Development Indicators (measured in 1999 Dollars).</w:t>
      </w:r>
    </w:p>
  </w:footnote>
  <w:footnote w:id="3">
    <w:p>
      <w:pPr>
        <w:pStyle w:val="FootnoteText"/>
        <w:rPr/>
      </w:pPr>
      <w:r>
        <w:rPr>
          <w:rStyle w:val="FootnoteCharacters"/>
        </w:rPr>
        <w:footnoteRef/>
      </w:r>
      <w:r>
        <w:rPr>
          <w:sz w:val="16"/>
        </w:rPr>
        <w:t xml:space="preserve"> </w:t>
      </w:r>
      <w:r>
        <w:rPr>
          <w:sz w:val="16"/>
        </w:rPr>
        <w:t>The PPP conversion factors used here are derived from the most recent round of price surveys conducted by the International Comparison Programme, a joint project of the World Bank and the regional economic commissions of the United Nations.</w:t>
      </w:r>
    </w:p>
  </w:footnote>
  <w:footnote w:id="4">
    <w:p>
      <w:pPr>
        <w:pStyle w:val="FootnoteText"/>
        <w:rPr/>
      </w:pPr>
      <w:r>
        <w:rPr>
          <w:rStyle w:val="FootnoteCharacters"/>
        </w:rPr>
        <w:footnoteRef/>
      </w:r>
      <w:r>
        <w:rPr>
          <w:sz w:val="16"/>
        </w:rPr>
        <w:t xml:space="preserve"> “</w:t>
      </w:r>
      <w:r>
        <w:rPr>
          <w:sz w:val="16"/>
        </w:rPr>
        <w:t>Economic Policy, Exchange Rates and the International System,” W. Max Corden, p. 214.</w:t>
      </w:r>
    </w:p>
  </w:footnote>
  <w:footnote w:id="5">
    <w:p>
      <w:pPr>
        <w:pStyle w:val="FootnoteText"/>
        <w:rPr/>
      </w:pPr>
      <w:r>
        <w:rPr>
          <w:rStyle w:val="FootnoteCharacters"/>
        </w:rPr>
        <w:footnoteRef/>
      </w:r>
      <w:r>
        <w:rPr>
          <w:sz w:val="16"/>
        </w:rPr>
        <w:t xml:space="preserve"> </w:t>
      </w:r>
      <w:r>
        <w:rPr>
          <w:sz w:val="16"/>
        </w:rPr>
        <w:t>UNCTAD Report.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28"/>
        <w:u w:val="none"/>
      </w:rPr>
    </w:pPr>
    <w:r>
      <w:rPr>
        <w:sz w:val="28"/>
        <w:u w:val="none"/>
      </w:rPr>
      <w:t>Purchasing Power Parity (PPP) and Foreign Exchange Forecasting</w:t>
    </w:r>
  </w:p>
  <w:p>
    <w:pPr>
      <w:pStyle w:val="Header"/>
      <w:rPr>
        <w:sz w:val="28"/>
        <w:u w:val="none"/>
        <w:lang w:val="en-CA"/>
      </w:rPr>
    </w:pPr>
    <w:r>
      <w:rPr>
        <w:sz w:val="28"/>
        <w:u w:val="none"/>
        <w:lang w:val="en-CA"/>
      </w:rPr>
      <mc:AlternateContent>
        <mc:Choice Requires="wps">
          <w:drawing>
            <wp:anchor behindDoc="1" distT="0" distB="0" distL="114935" distR="114935" simplePos="0" locked="0" layoutInCell="1" allowOverlap="1" relativeHeight="5">
              <wp:simplePos x="0" y="0"/>
              <wp:positionH relativeFrom="column">
                <wp:posOffset>45720</wp:posOffset>
              </wp:positionH>
              <wp:positionV relativeFrom="paragraph">
                <wp:posOffset>69850</wp:posOffset>
              </wp:positionV>
              <wp:extent cx="5394960" cy="0"/>
              <wp:effectExtent l="0" t="9525" r="0" b="9525"/>
              <wp:wrapNone/>
              <wp:docPr id="1" name=""/>
              <a:graphic xmlns:a="http://schemas.openxmlformats.org/drawingml/2006/main">
                <a:graphicData uri="http://schemas.microsoft.com/office/word/2010/wordprocessingShape">
                  <wps:wsp>
                    <wps:cNvSpPr/>
                    <wps:spPr>
                      <a:xfrm>
                        <a:off x="0" y="0"/>
                        <a:ext cx="539496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3.6pt,5.5pt" to="428.35pt,5.5pt" stroked="t" o:allowincell="f" style="position:absolute">
              <v:stroke color="black" weight="19080" joinstyle="miter" endcap="flat"/>
              <v:fill o:detectmouseclick="t" on="false"/>
              <w10:wrap type="none"/>
            </v:line>
          </w:pict>
        </mc:Fallback>
      </mc:AlternateContent>
      <w:object w:dxaOrig="1019" w:dyaOrig="87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57.6pt;margin-top:-30.5pt;width:57.6pt;height:50.4pt;mso-wrap-distance-left:9.05pt;mso-wrap-distance-right:9.05pt;mso-position-horizontal-relative:text;mso-position-vertical-relative:text" filled="f" o:ole="">
          <v:imagedata r:id="rId2" o:title=""/>
          <w10:wrap type="topAndBottom"/>
        </v:shape>
        <o:OLEObject Type="Embed" ProgID="" ShapeID="ole_rId1" DrawAspect="Content" ObjectID="_1133800474" r:id="rId1"/>
      </w:obje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i/>
    </w:rPr>
  </w:style>
  <w:style w:type="paragraph" w:styleId="Heading2">
    <w:name w:val="heading 2"/>
    <w:basedOn w:val="Normal"/>
    <w:next w:val="Normal"/>
    <w:qFormat/>
    <w:pPr>
      <w:keepNext w:val="true"/>
      <w:numPr>
        <w:ilvl w:val="1"/>
        <w:numId w:val="1"/>
      </w:numPr>
      <w:spacing w:lineRule="auto" w:line="480"/>
      <w:outlineLvl w:val="1"/>
    </w:pPr>
    <w:rPr>
      <w:u w:val="single"/>
    </w:rPr>
  </w:style>
  <w:style w:type="paragraph" w:styleId="Heading3">
    <w:name w:val="heading 3"/>
    <w:basedOn w:val="Normal"/>
    <w:next w:val="Normal"/>
    <w:qFormat/>
    <w:pPr>
      <w:keepNext w:val="true"/>
      <w:numPr>
        <w:ilvl w:val="2"/>
        <w:numId w:val="1"/>
      </w:numPr>
      <w:outlineLvl w:val="2"/>
    </w:pPr>
    <w:rPr>
      <w:b/>
      <w:i/>
      <w:sz w:val="28"/>
    </w:rPr>
  </w:style>
  <w:style w:type="character" w:styleId="WW8Num1z0">
    <w:name w:val="WW8Num1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rPr>
      <w:i/>
    </w:rPr>
  </w:style>
  <w:style w:type="paragraph" w:styleId="FootnoteText">
    <w:name w:val="footnote text"/>
    <w:basedOn w:val="Normal"/>
    <w:pPr/>
    <w:rPr>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2.wmf"/><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3.bin"/><Relationship Id="rId2"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2000-09-18T16:08:00Z</dcterms:created>
  <dc:creator>gkoepke</dc:creator>
  <dc:description/>
  <dc:language>en-CA</dc:language>
  <cp:lastModifiedBy>gkoepke</cp:lastModifiedBy>
  <cp:lastPrinted>2000-10-06T14:37:00Z</cp:lastPrinted>
  <dcterms:modified xsi:type="dcterms:W3CDTF">2000-10-06T20:43:00Z</dcterms:modified>
  <cp:revision>34</cp:revision>
  <dc:subject/>
  <dc:title>Purchasing Power Parity (PPP) and Foreign Exchange Forecasting</dc:title>
</cp:coreProperties>
</file>