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xml:space="preserve">") and </w:t>
      </w:r>
      <w:r>
        <w:rPr>
          <w:b/>
        </w:rPr>
        <w:t xml:space="preserve">PPL ENERGYPLUS, LLC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 xml:space="preserve">WHEREAS, Transwestern proposes to increase the capacity of its pipeline system through the replacement of compressors at Stations 1, 2, 3 and 4 (the "Red Rock Expansion");  </w:t>
      </w:r>
    </w:p>
    <w:p>
      <w:pPr>
        <w:pStyle w:val="Normal"/>
        <w:rPr/>
      </w:pPr>
      <w:r>
        <w:rPr/>
      </w:r>
    </w:p>
    <w:p>
      <w:pPr>
        <w:pStyle w:val="Normal"/>
        <w:ind w:firstLine="720" w:end="0"/>
        <w:rPr/>
      </w:pPr>
      <w:r>
        <w:rPr/>
        <w:t>WHEREAS, the Red Rock Expansion will make available to Transwestern's customers firm capacity along Transwestern's mainline from points of receipt east of Thoreau to points at or near the California Border; and</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Red Rock Expansion;</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w:t>
      </w:r>
      <w:r>
        <w:rPr>
          <w:spacing w:val="-3"/>
        </w:rPr>
        <w:t>Transwestern</w:t>
      </w:r>
      <w:r>
        <w:rPr/>
        <w:t xml:space="preserve"> and Shipper agree to enter into and execute simultaneously with the execution of this Agreement a Firm Transportation Service Agreement ("FTS-1 Agreement") attached hereto as Exhibit 1.</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therein.</w:t>
      </w:r>
    </w:p>
    <w:p>
      <w:pPr>
        <w:pStyle w:val="Normal"/>
        <w:rPr/>
      </w:pPr>
      <w:r>
        <w:rPr/>
      </w:r>
    </w:p>
    <w:p>
      <w:pPr>
        <w:pStyle w:val="Normal"/>
        <w:rPr/>
      </w:pPr>
      <w:r>
        <w:rPr>
          <w:b/>
        </w:rPr>
        <w:t>3.</w:t>
        <w:tab/>
      </w:r>
      <w:r>
        <w:rPr>
          <w:b/>
          <w:u w:val="single"/>
        </w:rPr>
        <w:t>Term</w:t>
      </w:r>
      <w:r>
        <w:rPr>
          <w:b/>
        </w:rPr>
        <w:t>.</w:t>
      </w:r>
      <w:r>
        <w:rPr/>
        <w:t xml:space="preserve"> This Agreement shall be effective upon execution by both parties hereto and, with the exception of the Confidentiality, Choice and Conflict of Law, and Limitation of Liabilities provisions, which shall survive the termination of this Agreement, shall terminate as of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2"/>
        </w:numPr>
        <w:tabs>
          <w:tab w:val="clear" w:pos="720"/>
          <w:tab w:val="left" w:pos="0" w:leader="none"/>
        </w:tabs>
        <w:ind w:firstLine="720" w:start="0" w:end="0"/>
        <w:rPr>
          <w:rFonts w:ascii="Century Schoolbook" w:hAnsi="Century Schoolbook" w:cs="Century Schoolbook"/>
        </w:rPr>
      </w:pPr>
      <w:r>
        <w:rPr>
          <w:u w:val="single"/>
        </w:rPr>
        <w:t>Rate</w:t>
      </w:r>
      <w:r>
        <w:rPr/>
        <w:t>.  The combined commodity and reservation unit rate applicable to the FTS-1 Agreement (the "Rate") shall be $0.38/MMBtu of Maximum Daily Transportation Quantity.  The Rate is inclusive of all applicable surcharges.  Transwestern shall allocate the combined rate between the reservation and commodity components inclusive of surcharges. 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rPr>
      </w:pPr>
      <w:r>
        <w:rPr>
          <w:rFonts w:cs="Century Schoolbook" w:ascii="Century Schoolbook" w:hAnsi="Century Schoolbook"/>
        </w:rPr>
      </w:r>
    </w:p>
    <w:p>
      <w:pPr>
        <w:pStyle w:val="Normal"/>
        <w:numPr>
          <w:ilvl w:val="0"/>
          <w:numId w:val="2"/>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five percent (5%).</w:t>
      </w:r>
    </w:p>
    <w:p>
      <w:pPr>
        <w:pStyle w:val="Normal"/>
        <w:rPr/>
      </w:pPr>
      <w:r>
        <w:rPr/>
      </w:r>
    </w:p>
    <w:p>
      <w:pPr>
        <w:pStyle w:val="Normal"/>
        <w:ind w:firstLine="720" w:end="0"/>
        <w:rPr/>
      </w:pPr>
      <w:r>
        <w:rPr/>
        <w:t>c.</w:t>
        <w:tab/>
      </w:r>
      <w:r>
        <w:rPr>
          <w:u w:val="single"/>
        </w:rPr>
        <w:t>Changes to tariff rates</w:t>
      </w:r>
      <w:r>
        <w:rPr/>
        <w:t>.  The Rate and the fuel rate applicable as of the date of the execution of this Agreement shall be applicable for the entire term of this Agreement, notwithstanding any change to Transwestern’s currently effective tariff rates.  To the extent that this paragraph 4 c. conflicts with language in the last paragraph of the FTS-1 Agreement, this paragraph 4 c. shall control.</w:t>
      </w:r>
    </w:p>
    <w:p>
      <w:pPr>
        <w:pStyle w:val="Normal"/>
        <w:ind w:firstLine="720" w:end="0"/>
        <w:rPr/>
      </w:pPr>
      <w:r>
        <w:rPr/>
      </w:r>
    </w:p>
    <w:p>
      <w:pPr>
        <w:pStyle w:val="Normal"/>
        <w:ind w:firstLine="720" w:end="0"/>
        <w:rPr/>
      </w:pPr>
      <w:r>
        <w:rPr/>
        <w:t>d.</w:t>
        <w:tab/>
      </w:r>
      <w:r>
        <w:rPr>
          <w:u w:val="single"/>
        </w:rPr>
        <w:t>Change in negotiated rate policy</w:t>
      </w:r>
      <w:r>
        <w:rPr/>
        <w:t>.  If the Rate set forth herein is invalidated by (i) the FERC's modification of the rules, regulations or policy applicable to Transwestern’s negotiated rate authority under the Alternative Rates Policy Statement or (ii) any order, legislation, or other action by a governmental authority, the transportation rate hereunder shall be the maximum rate set forth in Transwestern’s tariff, effective on the date such FERC order or other governmental action is final; provided, however, that if such maximum tariff rate is greater than the Rate, Transwestern shall only be entitled to receive for transportation services provided to Shipper hereunder the Rate set forth in this Agreement.  If the maximum tariff rate is less than the Rate, the parties agree to enter into a substitute lawful arrangement, such that the parties are placed in the same economic position as if Transwestern had collected the Rate.</w:t>
      </w:r>
    </w:p>
    <w:p>
      <w:pPr>
        <w:pStyle w:val="Normal"/>
        <w:rPr>
          <w:b/>
        </w:rPr>
      </w:pPr>
      <w:r>
        <w:rPr>
          <w:b/>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(a) not to file at the Federal Energy Regulatory Commission ("FERC") any specific opposition to </w:t>
      </w:r>
      <w:r>
        <w:rPr>
          <w:spacing w:val="-3"/>
        </w:rPr>
        <w:t>Transwestern</w:t>
      </w:r>
      <w:r>
        <w:rPr/>
        <w:t xml:space="preserve">'s Red Rock Expansion application(s); provided, however, that Shipper shall not waive rights to oppose or otherwise intervene in Transwestern proceedings other than those involving the applications relating to Transwestern’s Red Rock Expansion project; and, (b) to consult with and obtain approval from </w:t>
      </w:r>
      <w:r>
        <w:rPr>
          <w:spacing w:val="-3"/>
        </w:rPr>
        <w:t>Transwestern</w:t>
      </w:r>
      <w:r>
        <w:rPr/>
        <w:t xml:space="preserve"> prior to making any public comment (including its filing at the FERC in support of </w:t>
      </w:r>
      <w:r>
        <w:rPr>
          <w:spacing w:val="-3"/>
        </w:rPr>
        <w:t>Transwestern</w:t>
      </w:r>
      <w:r>
        <w:rPr/>
        <w:t xml:space="preserve">'s Red Rock Expansion application(s)) regarding </w:t>
      </w:r>
      <w:r>
        <w:rPr>
          <w:spacing w:val="-3"/>
        </w:rPr>
        <w:t>Transwestern</w:t>
      </w:r>
      <w:r>
        <w:rPr/>
        <w:t xml:space="preserve">'s Red Rock Expansion application(s).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and Shipper’s obligations to make any payments thereunder, shall not commence unless and until Transwestern accepts a FERC Certificate of Public Convenience and Necessity for the Red Rock Expansion and the expansion facilities have been tested and placed in service.  If Transwestern has not received FERC authorization and other licenses, permits, approvals, right-of-way interests and utilities for construction and operation of the Red Rock Expansion in a form acceptable to </w:t>
      </w:r>
      <w:r>
        <w:rPr>
          <w:spacing w:val="-3"/>
        </w:rPr>
        <w:t>Transwestern</w:t>
      </w:r>
      <w:r>
        <w:rPr/>
        <w:t>, in its sole discretion, on or before December 31, 2002, then Transwestern may terminate this Agreement and the FTS-1 Agreement upon thirty (30) days prior written notice to Shipper. If Transwestern has not placed the Red Rock Expansion facilities in service for commercial use by Shipper on or before December 31, 2002, then Shipper may terminate this Agreement and the FTS-1 Agreement upon thirty (30) days prior written notice to Transwestern.  If Transwestern determines, in its sole discretion, on or before December 31, 2001, that the Red Rock Expansion is not economically viable and provides Shipper notice of such determination on or before December 31, 2001, then either party may terminate this Agreement and the FTS-1 Agreement upon thirty (30) days prior written notice to the other party.</w:t>
      </w:r>
    </w:p>
    <w:p>
      <w:pPr>
        <w:pStyle w:val="Normal"/>
        <w:rPr>
          <w:b/>
        </w:rPr>
      </w:pPr>
      <w:r>
        <w:rPr>
          <w:b/>
        </w:rPr>
      </w:r>
    </w:p>
    <w:p>
      <w:pPr>
        <w:pStyle w:val="Normal"/>
        <w:rPr/>
      </w:pPr>
      <w:r>
        <w:rPr>
          <w:b/>
        </w:rPr>
        <w:t>8.</w:t>
        <w:tab/>
      </w:r>
      <w:r>
        <w:rPr>
          <w:b/>
          <w:u w:val="single"/>
        </w:rPr>
        <w:t>Right of First Refusal</w:t>
      </w:r>
      <w:r>
        <w:rPr>
          <w:b/>
        </w:rPr>
        <w:t xml:space="preserve">.  </w:t>
      </w:r>
      <w:r>
        <w:rPr/>
        <w:t>Shipper shall have a right of first refusal to extend this Agreement and the FTS-1 Agreement subject to the provisions of Section 13 of the FTS-1 Rate Schedule of Transwestern's tariff, as such provisions were in effect as of the effective date hereof.</w:t>
      </w:r>
    </w:p>
    <w:p>
      <w:pPr>
        <w:pStyle w:val="Normal"/>
        <w:rPr/>
      </w:pPr>
      <w:r>
        <w:rPr/>
      </w:r>
    </w:p>
    <w:p>
      <w:pPr>
        <w:pStyle w:val="Normal"/>
        <w:rPr/>
      </w:pPr>
      <w:r>
        <w:rPr>
          <w:b/>
        </w:rPr>
        <w:t>9.</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(a) to its auditors, outside counsel, lenders, parent, or affiliates when necessary for business purposes, which Parties shall likewise be bound by the confidentiality provisions, (b) if and only to the extent required by or through any administrative, regulatory, legislative, legal or judicial action, (c) to potential purchasers of facilities related to performing the obligations set forth in this Agreement, the Service Request, or the FTS-1 Agreement or (d) if and only to the extent necessary to resolve issues related to the interpretation, applicability or enforcement of this Agreement, the Service Request, or the FTS-1 Agreement.</w:t>
      </w:r>
    </w:p>
    <w:p>
      <w:pPr>
        <w:pStyle w:val="Normal"/>
        <w:rPr/>
      </w:pPr>
      <w:r>
        <w:rPr/>
      </w:r>
    </w:p>
    <w:p>
      <w:pPr>
        <w:pStyle w:val="Normal"/>
        <w:rPr/>
      </w:pPr>
      <w:r>
        <w:rPr>
          <w:b/>
        </w:rPr>
        <w:t>10.</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smallCaps/>
        </w:rPr>
      </w:pPr>
      <w:r>
        <w:rPr>
          <w:b/>
        </w:rPr>
        <w:t>11.</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p>
    <w:p>
      <w:pPr>
        <w:pStyle w:val="Normal"/>
        <w:rPr>
          <w:b/>
          <w:smallCaps/>
        </w:rPr>
      </w:pPr>
      <w:r>
        <w:rPr>
          <w:b/>
          <w:smallCaps/>
        </w:rPr>
      </w:r>
    </w:p>
    <w:p>
      <w:pPr>
        <w:pStyle w:val="Normal"/>
        <w:rPr/>
      </w:pPr>
      <w:r>
        <w:rPr>
          <w:b/>
        </w:rPr>
        <w:t>12.</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13.</w:t>
        <w:tab/>
      </w:r>
      <w:r>
        <w:rPr>
          <w:b/>
          <w:u w:val="single"/>
        </w:rPr>
        <w:t>Successors and Consent</w:t>
      </w:r>
      <w:r>
        <w:rPr>
          <w:b/>
        </w:rPr>
        <w:t xml:space="preserve">.  </w:t>
      </w:r>
      <w:r>
        <w:rPr/>
        <w:t>Tr</w:t>
      </w:r>
      <w:r>
        <w:rPr>
          <w:spacing w:val="-3"/>
        </w:rPr>
        <w:t>answestern</w:t>
      </w:r>
      <w:r>
        <w:rPr/>
        <w:t>'s obligation to enter into the FTS-1 Agreement and the Rate to be provided thereunder are for the benefit of Shipper only, and Shipper may not assign this Agreement, the Service Request, or the FTS-1 Agreement to another party without the prior, written consent of Transwestern, which consent shall not be unreasonably withheld or delay; provided, however that Shipper may, without the prior, written consent of Transwestern, assign this Agreement, the Service Request and/or the FTS-1 Agreement to an affiliate of Shipper or a party which succeeds to substantially all of the assets or stock of  Shipper.  Any party that succeeds Shipper as provided herein must meet the creditworthiness standards for shippers as set forth in Transwestern’s FERC Gas Tariff as it exists from time to time.</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PPL ENERGYPLUS, LLC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jc w:val="center"/>
        <w:rPr>
          <w:spacing w:val="-3"/>
        </w:rPr>
      </w:pPr>
      <w:r>
        <w:rPr>
          <w:spacing w:val="-3"/>
        </w:rPr>
        <w:t>APPENDIX A</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RECEIPT</w:t>
      </w:r>
    </w:p>
    <w:p>
      <w:pPr>
        <w:pStyle w:val="Normal"/>
        <w:jc w:val="center"/>
        <w:rPr>
          <w:spacing w:val="-3"/>
        </w:rPr>
      </w:pPr>
      <w:r>
        <w:rPr>
          <w:spacing w:val="-3"/>
        </w:rPr>
      </w:r>
    </w:p>
    <w:p>
      <w:pPr>
        <w:pStyle w:val="Normal"/>
        <w:jc w:val="center"/>
        <w:rPr>
          <w:spacing w:val="-3"/>
        </w:rPr>
      </w:pPr>
      <w:r>
        <w:rPr>
          <w:spacing w:val="-3"/>
        </w:rPr>
        <w:t>Shipper: PPL ENERGYPLUS, LLC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rPr>
          <w:spacing w:val="-3"/>
        </w:rPr>
      </w:pPr>
      <w:r>
        <w:rPr>
          <w:spacing w:val="-3"/>
        </w:rPr>
        <w:t>East of Thoreau Area*</w:t>
        <w:tab/>
        <w:tab/>
        <w:tab/>
        <w:tab/>
        <w:tab/>
        <w:tab/>
        <w:tab/>
        <w:tab/>
        <w:tab/>
        <w:t>20,000</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to amend this Appendix A to designate any receipt point(s) in the East of Thoreau Area as selected by Shipper, subject to available capacity.</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p>
    <w:p>
      <w:pPr>
        <w:pStyle w:val="Normal"/>
        <w:rPr>
          <w:spacing w:val="-3"/>
        </w:rPr>
      </w:pPr>
      <w:r>
        <w:rPr>
          <w:spacing w:val="-3"/>
        </w:rPr>
      </w:r>
      <w:r>
        <w:br w:type="page"/>
      </w:r>
    </w:p>
    <w:p>
      <w:pPr>
        <w:pStyle w:val="Normal"/>
        <w:jc w:val="center"/>
        <w:rPr>
          <w:spacing w:val="-3"/>
        </w:rPr>
      </w:pPr>
      <w:r>
        <w:rPr>
          <w:spacing w:val="-3"/>
        </w:rPr>
      </w:r>
    </w:p>
    <w:p>
      <w:pPr>
        <w:pStyle w:val="Normal"/>
        <w:jc w:val="center"/>
        <w:rPr>
          <w:spacing w:val="-3"/>
        </w:rPr>
      </w:pPr>
      <w:r>
        <w:rPr>
          <w:spacing w:val="-3"/>
        </w:rPr>
        <w:t>APPENDIX B</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POINT(S) OF DELIVERY</w:t>
      </w:r>
    </w:p>
    <w:p>
      <w:pPr>
        <w:pStyle w:val="Normal"/>
        <w:jc w:val="center"/>
        <w:rPr>
          <w:spacing w:val="-3"/>
        </w:rPr>
      </w:pPr>
      <w:r>
        <w:rPr>
          <w:spacing w:val="-3"/>
        </w:rPr>
      </w:r>
    </w:p>
    <w:p>
      <w:pPr>
        <w:pStyle w:val="Normal"/>
        <w:jc w:val="center"/>
        <w:rPr>
          <w:spacing w:val="-3"/>
        </w:rPr>
      </w:pPr>
      <w:r>
        <w:rPr>
          <w:spacing w:val="-3"/>
        </w:rPr>
        <w:t>Shipper:  PPL ENERGYPLUS, LLC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ab/>
        <w:tab/>
        <w:tab/>
        <w:tab/>
        <w:tab/>
        <w:tab/>
        <w:tab/>
        <w:tab/>
        <w:tab/>
        <w:tab/>
        <w:t xml:space="preserve">      MAXDTQ</w:t>
      </w:r>
    </w:p>
    <w:p>
      <w:pPr>
        <w:pStyle w:val="Normal"/>
        <w:pBdr>
          <w:bottom w:val="single" w:sz="6" w:space="1" w:color="000000"/>
        </w:pBdr>
        <w:rPr>
          <w:spacing w:val="-3"/>
        </w:rPr>
      </w:pPr>
      <w:r>
        <w:rPr>
          <w:spacing w:val="-3"/>
        </w:rPr>
        <w:t>P.O.I. NAME</w:t>
        <w:tab/>
        <w:tab/>
        <w:t>P.O.I. #</w:t>
        <w:tab/>
        <w:t>STATE</w:t>
        <w:tab/>
        <w:t>COUNTY</w:t>
        <w:tab/>
        <w:t xml:space="preserve">         VOLUME/DTH/DAY*</w:t>
      </w:r>
    </w:p>
    <w:p>
      <w:pPr>
        <w:pStyle w:val="Normal"/>
        <w:rPr>
          <w:spacing w:val="-3"/>
        </w:rPr>
      </w:pPr>
      <w:r>
        <w:rPr>
          <w:spacing w:val="-3"/>
        </w:rPr>
      </w:r>
    </w:p>
    <w:p>
      <w:pPr>
        <w:pStyle w:val="Normal"/>
        <w:ind w:firstLine="720" w:start="5760" w:end="0"/>
        <w:rPr>
          <w:spacing w:val="-3"/>
        </w:rPr>
      </w:pPr>
      <w:r>
        <w:rPr>
          <w:spacing w:val="-3"/>
        </w:rPr>
        <w:tab/>
      </w:r>
    </w:p>
    <w:p>
      <w:pPr>
        <w:pStyle w:val="Normal"/>
        <w:rPr>
          <w:spacing w:val="-3"/>
        </w:rPr>
      </w:pPr>
      <w:r>
        <w:rPr>
          <w:spacing w:val="-3"/>
        </w:rPr>
        <w:t>SoCal Needles</w:t>
        <w:tab/>
        <w:tab/>
        <w:t>10487</w:t>
        <w:tab/>
        <w:tab/>
        <w:t>Arizona</w:t>
        <w:tab/>
        <w:t>Mohave</w:t>
        <w:tab/>
        <w:tab/>
        <w:tab/>
        <w:t>12,000</w:t>
      </w:r>
    </w:p>
    <w:p>
      <w:pPr>
        <w:pStyle w:val="Normal"/>
        <w:rPr>
          <w:spacing w:val="-3"/>
        </w:rPr>
      </w:pPr>
      <w:r>
        <w:rPr>
          <w:spacing w:val="-3"/>
        </w:rPr>
      </w:r>
    </w:p>
    <w:p>
      <w:pPr>
        <w:pStyle w:val="Normal"/>
        <w:rPr>
          <w:spacing w:val="-3"/>
        </w:rPr>
      </w:pPr>
      <w:r>
        <w:rPr>
          <w:spacing w:val="-3"/>
        </w:rPr>
        <w:t>Citizens Griffith</w:t>
        <w:tab/>
        <w:t>78069</w:t>
        <w:tab/>
        <w:tab/>
        <w:t>Arizona</w:t>
        <w:tab/>
        <w:t>Mohave</w:t>
        <w:tab/>
        <w:tab/>
        <w:tab/>
        <w:t xml:space="preserve">  8,000</w:t>
      </w:r>
    </w:p>
    <w:p>
      <w:pPr>
        <w:pStyle w:val="Normal"/>
        <w:rPr>
          <w:spacing w:val="-3"/>
        </w:rPr>
      </w:pPr>
      <w:r>
        <w:rPr>
          <w:spacing w:val="-3"/>
        </w:rPr>
        <w:t>Power Plant</w:t>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r>
    </w:p>
    <w:p>
      <w:pPr>
        <w:pStyle w:val="Normal"/>
        <w:rPr>
          <w:spacing w:val="-3"/>
        </w:rPr>
      </w:pPr>
      <w:r>
        <w:rPr>
          <w:spacing w:val="-3"/>
        </w:rPr>
        <w:t>* The Parties agree that the total MAXDTQ requested for receipt at points listed on Appendix A shall equal the total MAXDTQ requested for delivery at points listed on Appendix B.</w:t>
      </w:r>
      <w:r>
        <w:br w:type="page"/>
      </w:r>
    </w:p>
    <w:p>
      <w:pPr>
        <w:pStyle w:val="Normal"/>
        <w:jc w:val="center"/>
        <w:rPr>
          <w:spacing w:val="-3"/>
        </w:rPr>
      </w:pPr>
      <w:r>
        <w:rPr>
          <w:spacing w:val="-3"/>
        </w:rPr>
        <w:t>APPENDIX C</w:t>
      </w:r>
    </w:p>
    <w:p>
      <w:pPr>
        <w:pStyle w:val="Normal"/>
        <w:jc w:val="center"/>
        <w:rPr>
          <w:spacing w:val="-3"/>
        </w:rPr>
      </w:pPr>
      <w:r>
        <w:rPr>
          <w:spacing w:val="-3"/>
        </w:rPr>
        <w:t xml:space="preserve">To </w:t>
      </w:r>
      <w:r>
        <w:rPr/>
        <w:t>Firm Transportation Service Agreement</w:t>
      </w:r>
    </w:p>
    <w:p>
      <w:pPr>
        <w:pStyle w:val="Normal"/>
        <w:jc w:val="center"/>
        <w:rPr>
          <w:spacing w:val="-3"/>
        </w:rPr>
      </w:pPr>
      <w:r>
        <w:rPr>
          <w:spacing w:val="-3"/>
        </w:rPr>
        <w:t>TERM</w:t>
      </w:r>
    </w:p>
    <w:p>
      <w:pPr>
        <w:pStyle w:val="Normal"/>
        <w:jc w:val="center"/>
        <w:rPr>
          <w:spacing w:val="-3"/>
        </w:rPr>
      </w:pPr>
      <w:r>
        <w:rPr>
          <w:spacing w:val="-3"/>
        </w:rPr>
      </w:r>
    </w:p>
    <w:p>
      <w:pPr>
        <w:pStyle w:val="Normal"/>
        <w:jc w:val="center"/>
        <w:rPr>
          <w:spacing w:val="-3"/>
        </w:rPr>
      </w:pPr>
      <w:r>
        <w:rPr>
          <w:spacing w:val="-3"/>
        </w:rPr>
        <w:t>Shipper:  PPL ENERGYPLUS, LLC</w:t>
      </w:r>
    </w:p>
    <w:p>
      <w:pPr>
        <w:pStyle w:val="Normal"/>
        <w:jc w:val="center"/>
        <w:rPr>
          <w:spacing w:val="-3"/>
        </w:rPr>
      </w:pPr>
      <w:r>
        <w:rPr>
          <w:spacing w:val="-3"/>
        </w:rPr>
      </w:r>
    </w:p>
    <w:p>
      <w:pPr>
        <w:pStyle w:val="Normal"/>
        <w:jc w:val="center"/>
        <w:rPr>
          <w:spacing w:val="-3"/>
        </w:rPr>
      </w:pPr>
      <w:r>
        <w:rPr>
          <w:spacing w:val="-3"/>
        </w:rPr>
        <w:t>Date:  _____________, 2001</w:t>
      </w:r>
    </w:p>
    <w:p>
      <w:pPr>
        <w:pStyle w:val="Normal"/>
        <w:rPr>
          <w:spacing w:val="-3"/>
        </w:rPr>
      </w:pPr>
      <w:r>
        <w:rPr>
          <w:spacing w:val="-3"/>
        </w:rPr>
      </w:r>
    </w:p>
    <w:p>
      <w:pPr>
        <w:pStyle w:val="Normal"/>
        <w:rPr>
          <w:spacing w:val="-3"/>
        </w:rPr>
      </w:pPr>
      <w:r>
        <w:rPr>
          <w:spacing w:val="-3"/>
        </w:rPr>
      </w:r>
    </w:p>
    <w:p>
      <w:pPr>
        <w:pStyle w:val="Normal"/>
        <w:rPr/>
      </w:pPr>
      <w:r>
        <w:rPr>
          <w:spacing w:val="-3"/>
        </w:rPr>
        <w:t>This Agreement shall become effective upon execution by both Transporter and Shipper; provided, however, that Transporter's obligation to provide services hereunder, shall not commence unless and until Transporter accepts a FERC Certificate of Public Convenience and Necessity for the Red Rock Expansion and the expansion facilities have been tested and placed in service (the “In-Service Date”).</w:t>
      </w:r>
      <w:r>
        <w:rPr/>
        <w:t xml:space="preserve"> If Transwestern has not received FERC authorization and other licenses, permits, approvals, right-of-way interests and utilities for construction and operation of the Red Rock Expansion in a form acceptable to </w:t>
      </w:r>
      <w:r>
        <w:rPr>
          <w:spacing w:val="-3"/>
        </w:rPr>
        <w:t>Transwestern</w:t>
      </w:r>
      <w:r>
        <w:rPr/>
        <w:t>, in its sole discretion, on or before December 31, 2002, then Transwestern may terminate this FTS-1 Agreement upon thirty (30) days prior written notice to Shipper.  If Transwestern has not placed the Red Rock Expansion facilities in service for commercial use by Shipper on or before December 31, 2002, then Shipper may terminate this FTS-1 Agreement upon thirty (30) days prior written notice to Transwestern.  If Transwestern determines, in its sole discretion, on or before December 31, 2001, that the Red Rock Expansion is not economically viable and provides Shipper notice of such determination on or before December 31, 2001, then either party may terminate this FTS-1 Agreement upon thirty (30) days prior written notice to the other party.</w:t>
      </w:r>
    </w:p>
    <w:p>
      <w:pPr>
        <w:pStyle w:val="Normal"/>
        <w:rPr/>
      </w:pPr>
      <w:r>
        <w:rPr/>
      </w:r>
    </w:p>
    <w:p>
      <w:pPr>
        <w:pStyle w:val="Normal"/>
        <w:rPr>
          <w:spacing w:val="-3"/>
        </w:rPr>
      </w:pPr>
      <w:r>
        <w:rPr/>
        <w:t xml:space="preserve">If not sooner terminated as provided herein, this FTS-1 Agreement shall have a term of three hundred sixty-one (361) months from and after the In-Service Date set forth above. </w:t>
      </w:r>
    </w:p>
    <w:p>
      <w:pPr>
        <w:pStyle w:val="Normal"/>
        <w:rPr>
          <w:spacing w:val="-3"/>
        </w:rPr>
      </w:pPr>
      <w:r>
        <w:rPr>
          <w:spacing w:val="-3"/>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00965"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100965"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95pt;height:8.9pt;mso-wrap-distance-left:0pt;mso-wrap-distance-right:0pt;mso-wrap-distance-top:0pt;mso-wrap-distance-bottom:0pt;margin-top:0.05pt;mso-position-vertical-relative:text;margin-left:230.0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p>
    <w:pPr>
      <w:pStyle w:val="Header"/>
      <w:rPr/>
    </w:pPr>
    <w:r>
      <w:rPr/>
      <w:tab/>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start"/>
      <w:outlineLvl w:val="0"/>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2001-05-31T19:41:00Z</dcterms:created>
  <dc:creator>ET&amp;S LAN Support</dc:creator>
  <dc:description/>
  <cp:keywords>Transwestern ECT</cp:keywords>
  <dc:language>en-CA</dc:language>
  <cp:lastModifiedBy>jfawcet</cp:lastModifiedBy>
  <cp:lastPrinted>2001-05-31T13:02:00Z</cp:lastPrinted>
  <dcterms:modified xsi:type="dcterms:W3CDTF">2001-05-31T19:41:00Z</dcterms:modified>
  <cp:revision>2</cp:revision>
  <dc:subject>Ignacio West</dc:subject>
  <dc:title>Agreement</dc:title>
</cp:coreProperties>
</file>