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t>Northern Arizona Gas Division</w:t>
      </w:r>
    </w:p>
    <w:p>
      <w:pPr>
        <w:pStyle w:val="Normal"/>
        <w:jc w:val="center"/>
        <w:rPr>
          <w:b/>
        </w:rPr>
      </w:pPr>
      <w:r>
        <w:rPr>
          <w:b/>
        </w:rPr>
        <w:t xml:space="preserve">Gas Supply Proposal </w:t>
      </w:r>
    </w:p>
    <w:p>
      <w:pPr>
        <w:pStyle w:val="Normal"/>
        <w:jc w:val="center"/>
        <w:rPr>
          <w:b/>
        </w:rPr>
      </w:pPr>
      <w:r>
        <w:rPr>
          <w:b/>
        </w:rPr>
        <w:t>To PP&amp;L Energy Plus</w:t>
      </w:r>
    </w:p>
    <w:p>
      <w:pPr>
        <w:pStyle w:val="Normal"/>
        <w:jc w:val="center"/>
        <w:rPr>
          <w:b/>
        </w:rPr>
      </w:pPr>
      <w:r>
        <w:rPr>
          <w:b/>
        </w:rPr>
        <w:t>For Griffith Power Plant</w:t>
      </w:r>
    </w:p>
    <w:p>
      <w:pPr>
        <w:pStyle w:val="Normal"/>
        <w:jc w:val="center"/>
        <w:rPr>
          <w:b/>
        </w:rPr>
      </w:pPr>
      <w:r>
        <w:rPr>
          <w:b/>
        </w:rPr>
        <w:t>April 2, 2001</w:t>
      </w:r>
    </w:p>
    <w:p>
      <w:pPr>
        <w:pStyle w:val="Normal"/>
        <w:rPr>
          <w:b/>
        </w:rPr>
      </w:pPr>
      <w:r>
        <w:rPr>
          <w:b/>
        </w:rPr>
      </w:r>
    </w:p>
    <w:p>
      <w:pPr>
        <w:pStyle w:val="Normal"/>
        <w:rPr/>
      </w:pPr>
      <w:r>
        <w:rPr/>
      </w:r>
    </w:p>
    <w:p>
      <w:pPr>
        <w:pStyle w:val="Normal"/>
        <w:rPr/>
      </w:pPr>
      <w:r>
        <w:rPr/>
        <w:t>Citizens Communication Company, Northern Arizona Gas Division (“Citizens”) offers for PP&amp;L Energy Plus (“PPL”) consideration of the following natural gas sales proposal in response to PPL’s March 19,2001, request.</w:t>
      </w:r>
    </w:p>
    <w:p>
      <w:pPr>
        <w:pStyle w:val="Normal"/>
        <w:rPr/>
      </w:pPr>
      <w:r>
        <w:rPr/>
      </w:r>
    </w:p>
    <w:p>
      <w:pPr>
        <w:pStyle w:val="Normal"/>
        <w:rPr/>
      </w:pPr>
      <w:r>
        <w:rPr>
          <w:b/>
        </w:rPr>
        <w:t>Term:</w:t>
      </w:r>
      <w:r>
        <w:rPr/>
        <w:tab/>
        <w:tab/>
        <w:tab/>
      </w:r>
      <w:r>
        <w:rPr>
          <w:b/>
          <w:color w:val="FF0000"/>
        </w:rPr>
        <w:t>July</w:t>
      </w:r>
      <w:r>
        <w:rPr>
          <w:color w:val="FF0000"/>
        </w:rPr>
        <w:t xml:space="preserve"> </w:t>
      </w:r>
      <w:r>
        <w:rPr/>
        <w:t xml:space="preserve">1, 2001 through </w:t>
      </w:r>
      <w:r>
        <w:rPr>
          <w:b/>
        </w:rPr>
        <w:t>September 30, 2003</w:t>
      </w:r>
    </w:p>
    <w:p>
      <w:pPr>
        <w:pStyle w:val="Normal"/>
        <w:rPr/>
      </w:pPr>
      <w:r>
        <w:rPr/>
      </w:r>
    </w:p>
    <w:p>
      <w:pPr>
        <w:pStyle w:val="Normal"/>
        <w:ind w:hanging="2160" w:start="2160" w:end="0"/>
        <w:rPr/>
      </w:pPr>
      <w:r>
        <w:rPr>
          <w:b/>
        </w:rPr>
        <w:t>Quantities:</w:t>
      </w:r>
      <w:r>
        <w:rPr/>
        <w:tab/>
        <w:t xml:space="preserve">PPL shall have the right to purchase for delivery to the Citizens/Griffith interconnect point with Transwestern Pipeline Company on a daily basis </w:t>
      </w:r>
      <w:r>
        <w:rPr>
          <w:u w:val="single"/>
        </w:rPr>
        <w:t>up to</w:t>
      </w:r>
      <w:r>
        <w:rPr/>
        <w:t xml:space="preserve"> the contact daily quantities (CDQ) during the month as set forth below.</w:t>
      </w:r>
    </w:p>
    <w:p>
      <w:pPr>
        <w:pStyle w:val="Normal"/>
        <w:ind w:hanging="2160" w:start="2160" w:end="0"/>
        <w:rPr/>
      </w:pPr>
      <w:r>
        <w:rPr/>
      </w:r>
    </w:p>
    <w:p>
      <w:pPr>
        <w:pStyle w:val="Normal"/>
        <w:ind w:hanging="2160" w:start="2160" w:end="0"/>
        <w:rPr/>
      </w:pPr>
      <w:r>
        <w:rPr/>
        <w:tab/>
        <w:tab/>
      </w:r>
      <w:r>
        <w:rPr>
          <w:u w:val="single"/>
        </w:rPr>
        <w:t>2001</w:t>
      </w:r>
      <w:r>
        <w:rPr/>
        <w:tab/>
        <w:tab/>
        <w:tab/>
      </w:r>
      <w:r>
        <w:rPr>
          <w:u w:val="single"/>
        </w:rPr>
        <w:t>2002</w:t>
      </w:r>
      <w:r>
        <w:rPr/>
        <w:tab/>
        <w:tab/>
        <w:tab/>
      </w:r>
      <w:r>
        <w:rPr>
          <w:u w:val="single"/>
        </w:rPr>
        <w:t>2003</w:t>
      </w:r>
    </w:p>
    <w:p>
      <w:pPr>
        <w:pStyle w:val="Normal"/>
        <w:ind w:hanging="2160" w:start="2160" w:end="0"/>
        <w:rPr/>
      </w:pPr>
      <w:r>
        <w:rPr/>
        <w:t>April - October</w:t>
        <w:tab/>
        <w:tab/>
        <w:t xml:space="preserve">20,000 </w:t>
        <w:tab/>
        <w:tab/>
        <w:t>15,000</w:t>
        <w:tab/>
        <w:tab/>
        <w:tab/>
        <w:t>15,000</w:t>
      </w:r>
    </w:p>
    <w:p>
      <w:pPr>
        <w:pStyle w:val="Normal"/>
        <w:ind w:hanging="2160" w:start="2160" w:end="0"/>
        <w:rPr/>
      </w:pPr>
      <w:r>
        <w:rPr/>
        <w:t>November – March</w:t>
        <w:tab/>
        <w:tab/>
        <w:t xml:space="preserve">15,000 </w:t>
        <w:tab/>
        <w:tab/>
        <w:t>15,000</w:t>
        <w:tab/>
        <w:tab/>
        <w:tab/>
        <w:t>15,000</w:t>
      </w:r>
    </w:p>
    <w:p>
      <w:pPr>
        <w:pStyle w:val="Normal"/>
        <w:ind w:hanging="2160" w:start="2160" w:end="0"/>
        <w:rPr/>
      </w:pPr>
      <w:r>
        <w:rPr/>
      </w:r>
    </w:p>
    <w:p>
      <w:pPr>
        <w:pStyle w:val="Normal"/>
        <w:ind w:hanging="2160" w:start="2160" w:end="0"/>
        <w:rPr/>
      </w:pPr>
      <w:r>
        <w:rPr/>
      </w:r>
    </w:p>
    <w:p>
      <w:pPr>
        <w:pStyle w:val="Heading1"/>
        <w:rPr/>
      </w:pPr>
      <w:r>
        <w:rPr/>
        <w:t>Character of</w:t>
      </w:r>
    </w:p>
    <w:p>
      <w:pPr>
        <w:pStyle w:val="Normal"/>
        <w:ind w:hanging="2160" w:start="2160" w:end="0"/>
        <w:rPr/>
      </w:pPr>
      <w:r>
        <w:rPr>
          <w:b/>
        </w:rPr>
        <w:t xml:space="preserve"> </w:t>
      </w:r>
      <w:r>
        <w:rPr>
          <w:b/>
        </w:rPr>
        <w:t>Service:</w:t>
      </w:r>
      <w:r>
        <w:rPr/>
        <w:tab/>
        <w:t xml:space="preserve">The sales to PPL at the Citizen/Griffith delivery point will be made on a firm basis.  PPL shall have the right to request deliveries be made to an alternate point on the Transwestern pipeline system. </w:t>
      </w:r>
      <w:r>
        <w:rPr>
          <w:strike/>
          <w:color w:val="FF0000"/>
        </w:rPr>
        <w:t>within the path of Citizens’ Transwestern firm transportation agreement.</w:t>
      </w:r>
      <w:r>
        <w:rPr/>
        <w:t xml:space="preserve">  Alternate point deliveries will be subject to the nominating, scheduling, and confirmation provisions of Transwestern.</w:t>
      </w:r>
    </w:p>
    <w:p>
      <w:pPr>
        <w:pStyle w:val="Normal"/>
        <w:ind w:hanging="2160" w:start="2160" w:end="0"/>
        <w:rPr/>
      </w:pPr>
      <w:r>
        <w:rPr/>
      </w:r>
    </w:p>
    <w:p>
      <w:pPr>
        <w:pStyle w:val="Normal"/>
        <w:ind w:hanging="2160" w:start="2160" w:end="0"/>
        <w:rPr/>
      </w:pPr>
      <w:r>
        <w:rPr>
          <w:b/>
        </w:rPr>
        <w:t>Pricing:</w:t>
      </w:r>
      <w:r>
        <w:rPr/>
        <w:tab/>
        <w:t>A) Reservation</w:t>
      </w:r>
    </w:p>
    <w:p>
      <w:pPr>
        <w:pStyle w:val="Normal"/>
        <w:ind w:hanging="1860" w:start="4320" w:end="0"/>
        <w:rPr/>
      </w:pPr>
      <w:r>
        <w:rPr/>
        <w:t>Charge:</w:t>
        <w:tab/>
      </w:r>
      <w:r>
        <w:rPr>
          <w:b/>
          <w:color w:val="FF0000"/>
        </w:rPr>
        <w:t>Equal to two times</w:t>
      </w:r>
      <w:r>
        <w:rPr/>
        <w:t xml:space="preserve"> the as-billed Transwestern transportation capacity reservation rates, times CDQ times days in month.</w:t>
      </w:r>
    </w:p>
    <w:p>
      <w:pPr>
        <w:pStyle w:val="Normal"/>
        <w:ind w:hanging="1860" w:start="4320" w:end="0"/>
        <w:rPr/>
      </w:pPr>
      <w:r>
        <w:rPr/>
      </w:r>
    </w:p>
    <w:p>
      <w:pPr>
        <w:pStyle w:val="Normal"/>
        <w:ind w:hanging="1860" w:start="4320" w:end="0"/>
        <w:rPr/>
      </w:pPr>
      <w:r>
        <w:rPr/>
        <w:tab/>
        <w:t>Transwestern capacity reservation rates shall equal the “as-billed” rates for Citizens’ San Juan Lateral and Mainline Transwestern transportation service.</w:t>
      </w:r>
    </w:p>
    <w:p>
      <w:pPr>
        <w:pStyle w:val="Normal"/>
        <w:ind w:hanging="2160" w:start="4320" w:end="0"/>
        <w:rPr/>
      </w:pPr>
      <w:r>
        <w:rPr/>
      </w:r>
    </w:p>
    <w:p>
      <w:pPr>
        <w:pStyle w:val="Normal"/>
        <w:ind w:hanging="2160" w:start="4320" w:end="0"/>
        <w:rPr/>
      </w:pPr>
      <w:r>
        <w:rPr/>
        <w:t>B) Commodity:</w:t>
        <w:tab/>
        <w:t xml:space="preserve">Gas quantities requested by PPL and scheduled by Citizens for delivery shall be priced at the </w:t>
      </w:r>
      <w:r>
        <w:rPr>
          <w:i/>
        </w:rPr>
        <w:t>Gas Daily</w:t>
      </w:r>
      <w:r>
        <w:rPr/>
        <w:t xml:space="preserve"> mid point of the index price range for PG&amp;E-Large Pkgs less $0.10, less the Reservation Charge </w:t>
      </w:r>
      <w:r>
        <w:rPr>
          <w:strike/>
          <w:color w:val="FF0000"/>
        </w:rPr>
        <w:t>(the “Index”)</w:t>
      </w:r>
      <w:r>
        <w:rPr/>
        <w:t xml:space="preserve">, </w:t>
      </w:r>
      <w:r>
        <w:rPr>
          <w:strike/>
          <w:color w:val="FF0000"/>
        </w:rPr>
        <w:t>plus</w:t>
      </w:r>
    </w:p>
    <w:p>
      <w:pPr>
        <w:pStyle w:val="Normal"/>
        <w:ind w:start="4320" w:end="0"/>
        <w:rPr/>
      </w:pPr>
      <w:r>
        <w:rPr>
          <w:strike/>
          <w:color w:val="FF0000"/>
        </w:rPr>
        <w:t>variable transportation cost, plus fuel</w:t>
      </w:r>
      <w:r>
        <w:rPr/>
        <w:t>.  The Index shall in no event be less than the Gas Daily mid point of the range for San Juan Basin.</w:t>
      </w:r>
    </w:p>
    <w:p>
      <w:pPr>
        <w:pStyle w:val="Normal"/>
        <w:rPr/>
      </w:pPr>
      <w:r>
        <w:rPr/>
      </w:r>
    </w:p>
    <w:p>
      <w:pPr>
        <w:pStyle w:val="Normal"/>
        <w:rPr>
          <w:b/>
        </w:rPr>
      </w:pPr>
      <w:r>
        <w:rPr>
          <w:b/>
        </w:rPr>
        <w:t>Conditions:</w:t>
      </w:r>
    </w:p>
    <w:p>
      <w:pPr>
        <w:pStyle w:val="BodyTextIndent"/>
        <w:rPr/>
      </w:pPr>
      <w:r>
        <w:rPr/>
        <w:t>A.</w:t>
        <w:tab/>
        <w:t xml:space="preserve">Citizens’ ability to delivery gas under this agreement is limited only by events beyond Citizens’ control.                                                                      </w:t>
      </w:r>
    </w:p>
    <w:p>
      <w:pPr>
        <w:pStyle w:val="Normal"/>
        <w:ind w:hanging="1440" w:start="1440" w:end="0"/>
        <w:rPr/>
      </w:pPr>
      <w:r>
        <w:rPr/>
      </w:r>
    </w:p>
    <w:p>
      <w:pPr>
        <w:pStyle w:val="Normal"/>
        <w:numPr>
          <w:ilvl w:val="0"/>
          <w:numId w:val="2"/>
        </w:numPr>
        <w:rPr/>
      </w:pPr>
      <w:r>
        <w:rPr/>
        <w:t xml:space="preserve">Nominations are due at </w:t>
      </w:r>
      <w:r>
        <w:rPr>
          <w:b/>
          <w:color w:val="FF0000"/>
        </w:rPr>
        <w:t>9:00</w:t>
      </w:r>
      <w:r>
        <w:rPr/>
        <w:t xml:space="preserve"> am Houston Time for next day deliveries.  Nominations for Saturday, Sunday, and Monday are due on Friday. </w:t>
      </w:r>
      <w:r>
        <w:rPr>
          <w:strike/>
          <w:color w:val="FF0000"/>
        </w:rPr>
        <w:t>and the quantity nominated shall be consistent across those days</w:t>
      </w:r>
      <w:r>
        <w:rPr/>
        <w:t>.</w:t>
      </w:r>
    </w:p>
    <w:p>
      <w:pPr>
        <w:pStyle w:val="Normal"/>
        <w:ind w:start="1440" w:end="0"/>
        <w:rPr/>
      </w:pPr>
      <w:r>
        <w:rPr/>
      </w:r>
    </w:p>
    <w:p>
      <w:pPr>
        <w:pStyle w:val="Normal"/>
        <w:ind w:hanging="720" w:start="2160" w:end="0"/>
        <w:rPr/>
      </w:pPr>
      <w:r>
        <w:rPr/>
        <w:t>C.</w:t>
        <w:tab/>
      </w:r>
      <w:r>
        <w:rPr>
          <w:b/>
        </w:rPr>
        <w:t>The parties to this agreement recognize that Citizens is required to file and receive approval of the Arizona Corporation Commission for a special sales contract prior to commencement of sales under this agreement.  In order to receive Commission approval for a June 1, 2001 effective date, Citizens needs to file the agreement with the Commission no later than April 20, 2001, to provide ample time for ACC staff review and recommendations and a Commission decision</w:t>
      </w:r>
      <w:r>
        <w:rPr/>
        <w:t>.</w:t>
      </w:r>
    </w:p>
    <w:p>
      <w:pPr>
        <w:pStyle w:val="Normal"/>
        <w:ind w:hanging="1440" w:start="1440" w:end="0"/>
        <w:rPr/>
      </w:pPr>
      <w:r>
        <w:rPr/>
      </w:r>
    </w:p>
    <w:p>
      <w:pPr>
        <w:pStyle w:val="Normal"/>
        <w:ind w:hanging="1440" w:start="1440" w:end="0"/>
        <w:rPr/>
      </w:pPr>
      <w:r>
        <w:rPr>
          <w:b/>
        </w:rPr>
        <w:t>Other:</w:t>
      </w:r>
      <w:r>
        <w:rPr/>
        <w:tab/>
        <w:t>Citizens, should PPL desire, is willing to discuss providing for extending this agreement for a term beyond March 2002.</w:t>
      </w:r>
    </w:p>
    <w:p>
      <w:pPr>
        <w:pStyle w:val="Normal"/>
        <w:ind w:hanging="1440" w:start="1440" w:end="0"/>
        <w:rPr/>
      </w:pPr>
      <w:r>
        <w:rPr/>
      </w:r>
    </w:p>
    <w:p>
      <w:pPr>
        <w:pStyle w:val="Normal"/>
        <w:ind w:hanging="1440" w:start="1440" w:end="0"/>
        <w:rPr/>
      </w:pPr>
      <w:r>
        <w:rPr/>
        <w:tab/>
        <w:t>Citizens is interested in exploring possible ways to link the gas supply to the power output and/or revenue from the plant.</w:t>
      </w:r>
    </w:p>
    <w:p>
      <w:pPr>
        <w:pStyle w:val="Normal"/>
        <w:ind w:hanging="1440" w:start="1440" w:end="0"/>
        <w:rPr/>
      </w:pPr>
      <w:r>
        <w:rPr/>
      </w:r>
    </w:p>
    <w:p>
      <w:pPr>
        <w:pStyle w:val="Normal"/>
        <w:ind w:start="1440" w:end="0"/>
        <w:rPr/>
      </w:pPr>
      <w:r>
        <w:rPr/>
        <w:t>.</w:t>
      </w:r>
    </w:p>
    <w:p>
      <w:pPr>
        <w:pStyle w:val="Normal"/>
        <w:rPr/>
      </w:pPr>
      <w:r>
        <w:rPr/>
      </w:r>
    </w:p>
    <w:p>
      <w:pPr>
        <w:pStyle w:val="Normal"/>
        <w:rPr/>
      </w:pPr>
      <w:r>
        <w:rPr/>
      </w:r>
    </w:p>
    <w:p>
      <w:pPr>
        <w:pStyle w:val="Normal"/>
        <w:rPr/>
      </w:pPr>
      <w:r>
        <w:rPr/>
        <w:t xml:space="preserve">Should you have any questions, please contact Sean Breen at 520-226-2216 or John Cogan at 504-392-7557. </w:t>
      </w:r>
    </w:p>
    <w:p>
      <w:pPr>
        <w:pStyle w:val="Normal"/>
        <w:rPr/>
      </w:pPr>
      <w:r>
        <w:rPr/>
      </w:r>
    </w:p>
    <w:p>
      <w:pPr>
        <w:pStyle w:val="Normal"/>
        <w:rPr/>
      </w:pPr>
      <w:r>
        <w:rPr/>
        <w:t xml:space="preserve">Citizens looks forward to working with PPL in developing a definitive agreement for natural gas sales to PPL for the Griffith plant.  </w:t>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STRICTLY CONFIDENTIAL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2001-04-02T15:55:00Z</dcterms:created>
  <dc:creator>John Cogan</dc:creator>
  <dc:description/>
  <dc:language>en-CA</dc:language>
  <cp:lastModifiedBy>Licensed User</cp:lastModifiedBy>
  <cp:lastPrinted>2001-04-02T12:58:00Z</cp:lastPrinted>
  <dcterms:modified xsi:type="dcterms:W3CDTF">2001-04-02T16:34:00Z</dcterms:modified>
  <cp:revision>3</cp:revision>
  <dc:subject/>
  <dc:title>Northern Arizona Gas Division</dc:title>
</cp:coreProperties>
</file>