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rPr>
      </w:pPr>
      <w:r>
        <w:rPr>
          <w:rFonts w:cs="Arial" w:ascii="Arial" w:hAnsi="Arial"/>
          <w:b/>
        </w:rPr>
        <w:t>UNITED STATES OF AMERICA</w:t>
      </w:r>
    </w:p>
    <w:p>
      <w:pPr>
        <w:pStyle w:val="Normal"/>
        <w:numPr>
          <w:ilvl w:val="0"/>
          <w:numId w:val="0"/>
        </w:numPr>
        <w:jc w:val="center"/>
        <w:outlineLvl w:val="0"/>
        <w:rPr>
          <w:rFonts w:ascii="Arial" w:hAnsi="Arial" w:cs="Arial"/>
          <w:b/>
        </w:rPr>
      </w:pPr>
      <w:r>
        <w:rPr>
          <w:rFonts w:cs="Arial" w:ascii="Arial" w:hAnsi="Arial"/>
          <w:b/>
        </w:rPr>
        <w:t>BEFORE THE</w:t>
      </w:r>
    </w:p>
    <w:p>
      <w:pPr>
        <w:pStyle w:val="Normal"/>
        <w:numPr>
          <w:ilvl w:val="0"/>
          <w:numId w:val="0"/>
        </w:numPr>
        <w:jc w:val="center"/>
        <w:outlineLvl w:val="0"/>
        <w:rPr>
          <w:rFonts w:ascii="Arial" w:hAnsi="Arial" w:cs="Arial"/>
        </w:rPr>
      </w:pPr>
      <w:r>
        <w:rPr>
          <w:rFonts w:cs="Arial" w:ascii="Arial" w:hAnsi="Arial"/>
          <w:b/>
        </w:rPr>
        <w:t>FEDERAL ENERGY REGULATORY COMMISSION</w:t>
      </w:r>
    </w:p>
    <w:tbl>
      <w:tblPr>
        <w:tblW w:w="9108" w:type="dxa"/>
        <w:jc w:val="start"/>
        <w:tblInd w:w="0" w:type="dxa"/>
        <w:tblLayout w:type="fixed"/>
        <w:tblCellMar>
          <w:top w:w="0" w:type="dxa"/>
          <w:start w:w="108" w:type="dxa"/>
          <w:bottom w:w="0" w:type="dxa"/>
          <w:end w:w="108" w:type="dxa"/>
        </w:tblCellMar>
      </w:tblPr>
      <w:tblGrid>
        <w:gridCol w:w="4968"/>
        <w:gridCol w:w="360"/>
        <w:gridCol w:w="3780"/>
      </w:tblGrid>
      <w:tr>
        <w:trPr/>
        <w:tc>
          <w:tcPr>
            <w:tcW w:w="4968" w:type="dxa"/>
            <w:tcBorders/>
          </w:tcPr>
          <w:p>
            <w:pPr>
              <w:pStyle w:val="Normal"/>
              <w:snapToGrid w:val="false"/>
              <w:rPr>
                <w:rFonts w:ascii="Arial" w:hAnsi="Arial" w:cs="Arial"/>
              </w:rPr>
            </w:pPr>
            <w:r>
              <w:rPr>
                <w:rFonts w:cs="Arial" w:ascii="Arial" w:hAnsi="Arial"/>
              </w:rPr>
            </w:r>
          </w:p>
        </w:tc>
        <w:tc>
          <w:tcPr>
            <w:tcW w:w="360"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r>
      <w:tr>
        <w:trPr/>
        <w:tc>
          <w:tcPr>
            <w:tcW w:w="4968" w:type="dxa"/>
            <w:tcBorders/>
          </w:tcPr>
          <w:p>
            <w:pPr>
              <w:pStyle w:val="Normal"/>
              <w:rPr>
                <w:rFonts w:ascii="Arial" w:hAnsi="Arial" w:cs="Arial"/>
              </w:rPr>
            </w:pPr>
            <w:r>
              <w:rPr>
                <w:rFonts w:cs="Arial" w:ascii="Arial" w:hAnsi="Arial"/>
              </w:rPr>
              <w:t>San Diego Gas &amp; Electric Company,</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Complainant</w:t>
            </w:r>
          </w:p>
          <w:p>
            <w:pPr>
              <w:pStyle w:val="Normal"/>
              <w:rPr>
                <w:rFonts w:ascii="Arial" w:hAnsi="Arial" w:cs="Arial"/>
              </w:rPr>
            </w:pPr>
            <w:r>
              <w:rPr>
                <w:rFonts w:cs="Arial" w:ascii="Arial" w:hAnsi="Arial"/>
              </w:rPr>
              <w:t>v.</w:t>
            </w:r>
          </w:p>
          <w:p>
            <w:pPr>
              <w:pStyle w:val="Normal"/>
              <w:rPr>
                <w:rFonts w:ascii="Arial" w:hAnsi="Arial" w:cs="Arial"/>
              </w:rPr>
            </w:pPr>
            <w:r>
              <w:rPr>
                <w:rFonts w:cs="Arial" w:ascii="Arial" w:hAnsi="Arial"/>
              </w:rPr>
              <w:t>Sellers of Energy and Ancillary Services Into Markets Operated by the California Independent System Operator and the California Power Exchange</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Respondents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Investigation of Practices of the California</w:t>
            </w:r>
          </w:p>
          <w:p>
            <w:pPr>
              <w:pStyle w:val="Normal"/>
              <w:rPr>
                <w:rFonts w:ascii="Arial" w:hAnsi="Arial" w:cs="Arial"/>
              </w:rPr>
            </w:pPr>
            <w:r>
              <w:rPr>
                <w:rFonts w:cs="Arial" w:ascii="Arial" w:hAnsi="Arial"/>
              </w:rPr>
              <w:t>Independent System Operator and the California Power Exchange</w:t>
            </w:r>
          </w:p>
          <w:p>
            <w:pPr>
              <w:pStyle w:val="Normal"/>
              <w:rPr>
                <w:rFonts w:ascii="Arial" w:hAnsi="Arial" w:cs="Arial"/>
              </w:rPr>
            </w:pPr>
            <w:r>
              <w:rPr>
                <w:rFonts w:cs="Arial" w:ascii="Arial" w:hAnsi="Arial"/>
              </w:rPr>
            </w:r>
          </w:p>
        </w:tc>
        <w:tc>
          <w:tcPr>
            <w:tcW w:w="360" w:type="dxa"/>
            <w:tcBorders/>
          </w:tcPr>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t>)</w:t>
            </w:r>
          </w:p>
        </w:tc>
        <w:tc>
          <w:tcPr>
            <w:tcW w:w="3780" w:type="dxa"/>
            <w:tcBorders/>
          </w:tcPr>
          <w:p>
            <w:pPr>
              <w:pStyle w:val="Normal"/>
              <w:snapToGrid w:val="false"/>
              <w:rPr>
                <w:rFonts w:ascii="Arial" w:hAnsi="Arial" w:cs="Arial"/>
              </w:rPr>
            </w:pPr>
            <w:r>
              <w:rPr>
                <w:rFonts w:cs="Arial" w:ascii="Arial" w:hAnsi="Arial"/>
              </w:rPr>
            </w:r>
          </w:p>
          <w:p>
            <w:pPr>
              <w:pStyle w:val="Normal"/>
              <w:jc w:val="end"/>
              <w:rPr>
                <w:rFonts w:ascii="Arial" w:hAnsi="Arial" w:cs="Arial"/>
              </w:rPr>
            </w:pPr>
            <w:r>
              <w:rPr>
                <w:rFonts w:cs="Arial" w:ascii="Arial" w:hAnsi="Arial"/>
              </w:rPr>
              <w:t xml:space="preserve">Docket Nos. EL00-95-045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t>EL00-98-042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numPr>
          <w:ilvl w:val="0"/>
          <w:numId w:val="0"/>
        </w:numPr>
        <w:jc w:val="center"/>
        <w:outlineLvl w:val="0"/>
        <w:rPr>
          <w:rFonts w:ascii="Arial" w:hAnsi="Arial" w:cs="Arial"/>
          <w:b/>
        </w:rPr>
      </w:pPr>
      <w:bookmarkStart w:id="0" w:name="Title"/>
      <w:bookmarkEnd w:id="0"/>
      <w:r>
        <w:rPr>
          <w:rFonts w:cs="Arial" w:ascii="Arial" w:hAnsi="Arial"/>
          <w:b/>
        </w:rPr>
        <w:t xml:space="preserve">RESPONSE OF PPL MONTANA, LLC AND PPL ENERGYPLUS, LLC </w:t>
      </w:r>
    </w:p>
    <w:p>
      <w:pPr>
        <w:pStyle w:val="Normal"/>
        <w:numPr>
          <w:ilvl w:val="0"/>
          <w:numId w:val="0"/>
        </w:numPr>
        <w:jc w:val="center"/>
        <w:outlineLvl w:val="0"/>
        <w:rPr>
          <w:rFonts w:ascii="Arial" w:hAnsi="Arial" w:cs="Arial"/>
          <w:b/>
        </w:rPr>
      </w:pPr>
      <w:r>
        <w:rPr>
          <w:rFonts w:cs="Arial" w:ascii="Arial" w:hAnsi="Arial"/>
          <w:b/>
        </w:rPr>
        <w:t xml:space="preserve">TO THE REQUEST OF THE PRESIDING JUDGE FOR </w:t>
      </w:r>
    </w:p>
    <w:p>
      <w:pPr>
        <w:pStyle w:val="Normal"/>
        <w:numPr>
          <w:ilvl w:val="0"/>
          <w:numId w:val="0"/>
        </w:numPr>
        <w:jc w:val="center"/>
        <w:outlineLvl w:val="0"/>
        <w:rPr>
          <w:rFonts w:ascii="Arial" w:hAnsi="Arial" w:cs="Arial"/>
          <w:b/>
        </w:rPr>
      </w:pPr>
      <w:r>
        <w:rPr>
          <w:rFonts w:cs="Arial" w:ascii="Arial" w:hAnsi="Arial"/>
          <w:b/>
        </w:rPr>
        <w:t>IDENTIFICATION OF SEALED TESTIMONY</w:t>
      </w:r>
    </w:p>
    <w:p>
      <w:pPr>
        <w:pStyle w:val="Normal"/>
        <w:numPr>
          <w:ilvl w:val="0"/>
          <w:numId w:val="0"/>
        </w:numPr>
        <w:jc w:val="center"/>
        <w:outlineLvl w:val="0"/>
        <w:rPr>
          <w:rFonts w:ascii="Arial" w:hAnsi="Arial" w:cs="Arial"/>
          <w:b/>
        </w:rPr>
      </w:pPr>
      <w:r>
        <w:rPr>
          <w:rFonts w:cs="Arial" w:ascii="Arial" w:hAnsi="Arial"/>
          <w:b/>
        </w:rPr>
      </w:r>
    </w:p>
    <w:p>
      <w:pPr>
        <w:pStyle w:val="Normal"/>
        <w:autoSpaceDE w:val="false"/>
        <w:spacing w:lineRule="auto" w:line="480"/>
        <w:ind w:firstLine="720" w:end="0"/>
        <w:rPr/>
      </w:pPr>
      <w:r>
        <w:rPr>
          <w:rFonts w:cs="Arial" w:ascii="Arial" w:hAnsi="Arial"/>
        </w:rPr>
        <w:t xml:space="preserve">PPL Montana, LLC (“PPL Montana”) and PPL EnergyPlus, LLC (“PPL EnergyPlus”)(collectively, “PPL” or “the PPL Parties”) hereby respond to the Order dated November 15, 2001 of Presiding Judge Bruce Birchman. The November 15 Order directed each party to file a pleading to advise the Presiding Judge and the Secretary, with service to all parties through LISTSERV, which </w:t>
      </w:r>
    </w:p>
    <w:p>
      <w:pPr>
        <w:pStyle w:val="Normal"/>
        <w:autoSpaceDE w:val="false"/>
        <w:spacing w:lineRule="auto" w:line="480"/>
        <w:ind w:start="1440" w:end="1440"/>
        <w:rPr>
          <w:rFonts w:ascii="Arial" w:hAnsi="Arial" w:cs="Arial"/>
        </w:rPr>
      </w:pPr>
      <w:r>
        <w:rPr>
          <w:rFonts w:cs="Arial" w:ascii="Arial" w:hAnsi="Arial"/>
        </w:rPr>
        <w:t>“</w:t>
      </w:r>
      <w:r>
        <w:rPr>
          <w:rFonts w:cs="Arial" w:ascii="Arial" w:hAnsi="Arial"/>
        </w:rPr>
        <w:t>(a) clearly identifies those portions of their pre-filed testimony and supporting exhibits pertaining to heat rate and MMCP data that are no longer under seal as a result of this order and (b) clearly identifies those portions of their pre-filed testimony and supporting exhibits which continue to be under seal and subject to the Protective Order. “</w:t>
      </w:r>
    </w:p>
    <w:p>
      <w:pPr>
        <w:pStyle w:val="Normal"/>
        <w:numPr>
          <w:ilvl w:val="0"/>
          <w:numId w:val="0"/>
        </w:numPr>
        <w:spacing w:lineRule="auto" w:line="480"/>
        <w:jc w:val="both"/>
        <w:outlineLvl w:val="0"/>
        <w:rPr>
          <w:rFonts w:ascii="Arial" w:hAnsi="Arial" w:cs="Arial"/>
        </w:rPr>
      </w:pPr>
      <w:r>
        <w:rPr>
          <w:rFonts w:cs="Arial" w:ascii="Arial" w:hAnsi="Arial"/>
        </w:rPr>
      </w:r>
    </w:p>
    <w:p>
      <w:pPr>
        <w:pStyle w:val="Normal"/>
        <w:numPr>
          <w:ilvl w:val="0"/>
          <w:numId w:val="0"/>
        </w:numPr>
        <w:spacing w:lineRule="auto" w:line="480"/>
        <w:ind w:firstLine="720" w:end="0"/>
        <w:jc w:val="both"/>
        <w:outlineLvl w:val="0"/>
        <w:rPr>
          <w:rFonts w:ascii="Arial" w:hAnsi="Arial" w:cs="Arial"/>
          <w:b/>
          <w:bCs/>
        </w:rPr>
      </w:pPr>
      <w:r>
        <w:rPr>
          <w:rFonts w:cs="Arial" w:ascii="Arial" w:hAnsi="Arial"/>
          <w:b/>
          <w:bCs/>
        </w:rPr>
        <w:t>A.</w:t>
        <w:tab/>
        <w:t>PORTIONS OF TESTIMONY OR EXHIBITS NO LONGER UNDER SEAL.</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 xml:space="preserve">None.  The PPL parties did not submit any testimony or exhibits incorporating actual heat rate data or MMCP data and did not seek to file any material under seal on that basis.  </w:t>
      </w:r>
    </w:p>
    <w:p>
      <w:pPr>
        <w:pStyle w:val="Normal"/>
        <w:numPr>
          <w:ilvl w:val="0"/>
          <w:numId w:val="0"/>
        </w:numPr>
        <w:spacing w:lineRule="auto" w:line="480"/>
        <w:ind w:firstLine="720" w:end="0"/>
        <w:jc w:val="both"/>
        <w:outlineLvl w:val="0"/>
        <w:rPr>
          <w:rFonts w:ascii="Arial" w:hAnsi="Arial" w:cs="Arial"/>
          <w:b/>
          <w:bCs/>
        </w:rPr>
      </w:pPr>
      <w:r>
        <w:rPr>
          <w:rFonts w:cs="Arial" w:ascii="Arial" w:hAnsi="Arial"/>
          <w:b/>
          <w:bCs/>
        </w:rPr>
        <w:t>B.</w:t>
        <w:tab/>
        <w:t>PORTIONS OF TESTIMONY OR EXHIBITS CONTINUING UNDER SEAL</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The following portions of PPLM’s testimony and exhibits remain under seal:</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PPL-9  (Bradshaw testimony):  The actual prices of referenced transactions have been redacted from the publicly filed version of this testimony at page 4, line 21 and at  page 5 lines 16-18.   The sealed version includes these prices.</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PPL-10:   The actual sale prices of PPL’s Section 202(c) transactions have been redacted from the “Sale Price” column in this exhibit.  The sealed version includes these prices.</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PPL-11:   Attachment 11a, which is the ISO OOM sheet for January 2, 2001, showing sale quantities and prices for other sellers for that date, has been redacted.  The sealed version includes the attachment.</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PPL-12:    The sale price and total dollar amount of each of the two referenced sales have been redacted.   The sealed version includes these prices and total dollar amounts.</w:t>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tab/>
        <w:t>PPL-13:      The quantities and sale prices of sales by PPLM to the California ISO for January 2, 2001 have been redacted.  The sealed version includes these quantities and prices.</w:t>
      </w:r>
    </w:p>
    <w:p>
      <w:pPr>
        <w:pStyle w:val="Signature"/>
        <w:widowControl w:val="false"/>
        <w:tabs>
          <w:tab w:val="left" w:pos="1440" w:leader="none"/>
          <w:tab w:val="left" w:pos="4320" w:leader="none"/>
          <w:tab w:val="left" w:pos="4680" w:leader="none"/>
          <w:tab w:val="left" w:pos="5220" w:leader="none"/>
        </w:tabs>
        <w:ind w:start="0" w:end="0"/>
        <w:rPr>
          <w:rFonts w:cs="Arial"/>
          <w:b/>
          <w:bCs/>
        </w:rPr>
      </w:pPr>
      <w:r>
        <w:rPr>
          <w:rFonts w:eastAsia="Arial" w:cs="Arial"/>
          <w:b/>
          <w:bCs/>
        </w:rPr>
        <w:t xml:space="preserve">          </w:t>
      </w:r>
      <w:r>
        <w:rPr>
          <w:rFonts w:cs="Arial"/>
          <w:b/>
          <w:bCs/>
        </w:rPr>
        <w:t>C.</w:t>
        <w:tab/>
        <w:t>CONSULTATION  AS TO SEALED TESTIMONY AND EXHIBITS</w:t>
      </w:r>
    </w:p>
    <w:p>
      <w:pPr>
        <w:pStyle w:val="HTMLPreformatted"/>
        <w:spacing w:lineRule="auto" w:line="480"/>
        <w:rPr/>
      </w:pPr>
      <w:r>
        <w:rPr/>
        <w:tab/>
      </w:r>
      <w:r>
        <w:rPr>
          <w:rFonts w:cs="Arial" w:ascii="Arial" w:hAnsi="Arial"/>
          <w:sz w:val="24"/>
        </w:rPr>
        <w:t>The November 15, 2001 Order directs the parties “to consult and seek to stipulate the lifting of the Protective Order as concerns this material as promptly as possible,” with the goal of reaching a stipulation before December 12, 2001.  The PPL parties have sought to protect only their pricing information for specific transactions referenced in their testimony.  The PPL parties have participated in preliminary discussions among the parties as to confidentiality and will continue such consultations.</w:t>
      </w:r>
    </w:p>
    <w:p>
      <w:pPr>
        <w:pStyle w:val="Signature"/>
        <w:widowControl w:val="false"/>
        <w:tabs>
          <w:tab w:val="left" w:pos="1440" w:leader="none"/>
          <w:tab w:val="left" w:pos="4320" w:leader="none"/>
          <w:tab w:val="left" w:pos="4680" w:leader="none"/>
          <w:tab w:val="left" w:pos="5220" w:leader="none"/>
        </w:tabs>
        <w:ind w:start="0" w:end="0"/>
        <w:rPr>
          <w:rFonts w:ascii="Arial" w:hAnsi="Arial" w:cs="Arial"/>
          <w:sz w:val="24"/>
        </w:rPr>
      </w:pPr>
      <w:r>
        <w:rPr>
          <w:rFonts w:cs="Arial"/>
          <w:sz w:val="24"/>
        </w:rPr>
      </w:r>
    </w:p>
    <w:p>
      <w:pPr>
        <w:pStyle w:val="Signature"/>
        <w:keepNext w:val="true"/>
        <w:widowControl w:val="false"/>
        <w:tabs>
          <w:tab w:val="clear" w:pos="4680"/>
          <w:tab w:val="left" w:pos="4800" w:leader="none"/>
        </w:tabs>
        <w:spacing w:lineRule="auto" w:line="240"/>
        <w:ind w:start="4032" w:end="0"/>
        <w:rPr/>
      </w:pPr>
      <w:r>
        <w:rPr/>
        <w:t>Respectfully submitted,</w:t>
      </w:r>
    </w:p>
    <w:p>
      <w:pPr>
        <w:pStyle w:val="Signature"/>
        <w:keepNext w:val="true"/>
        <w:widowControl w:val="false"/>
        <w:tabs>
          <w:tab w:val="clear" w:pos="4680"/>
          <w:tab w:val="left" w:pos="4800" w:leader="none"/>
        </w:tabs>
        <w:spacing w:lineRule="auto" w:line="240"/>
        <w:ind w:start="4032" w:end="0"/>
        <w:rPr/>
      </w:pPr>
      <w:r>
        <w:rPr/>
      </w:r>
    </w:p>
    <w:p>
      <w:pPr>
        <w:pStyle w:val="Signature"/>
        <w:keepNext w:val="true"/>
        <w:widowControl w:val="false"/>
        <w:spacing w:lineRule="auto" w:line="240"/>
        <w:ind w:start="4032" w:end="0"/>
        <w:rPr/>
      </w:pPr>
      <w:r>
        <w:rPr/>
        <w:t>Jesse A. Dillon, Esq.</w:t>
      </w:r>
    </w:p>
    <w:p>
      <w:pPr>
        <w:pStyle w:val="Signature"/>
        <w:keepNext w:val="true"/>
        <w:widowControl w:val="false"/>
        <w:spacing w:lineRule="auto" w:line="240"/>
        <w:ind w:start="4032" w:end="0"/>
        <w:rPr/>
      </w:pPr>
      <w:r>
        <w:rPr/>
        <w:t>PPL Services Corporation</w:t>
      </w:r>
    </w:p>
    <w:p>
      <w:pPr>
        <w:pStyle w:val="Signature"/>
        <w:keepNext w:val="true"/>
        <w:widowControl w:val="false"/>
        <w:spacing w:lineRule="auto" w:line="240"/>
        <w:ind w:start="4032" w:end="0"/>
        <w:rPr/>
      </w:pPr>
      <w:r>
        <w:rPr/>
        <w:t>Two North Ninth Street</w:t>
      </w:r>
    </w:p>
    <w:p>
      <w:pPr>
        <w:pStyle w:val="Signature"/>
        <w:keepNext w:val="true"/>
        <w:widowControl w:val="false"/>
        <w:spacing w:lineRule="auto" w:line="240"/>
        <w:ind w:start="4032" w:end="0"/>
        <w:rPr/>
      </w:pPr>
      <w:r>
        <w:rPr/>
        <w:t>Allentown, PA  18101</w:t>
      </w:r>
    </w:p>
    <w:p>
      <w:pPr>
        <w:pStyle w:val="Signature"/>
        <w:keepNext w:val="true"/>
        <w:widowControl w:val="false"/>
        <w:spacing w:lineRule="auto" w:line="240"/>
        <w:ind w:start="4032" w:end="0"/>
        <w:rPr/>
      </w:pPr>
      <w:r>
        <w:rPr/>
      </w:r>
    </w:p>
    <w:p>
      <w:pPr>
        <w:pStyle w:val="Signature"/>
        <w:widowControl w:val="false"/>
        <w:spacing w:lineRule="auto" w:line="240"/>
        <w:ind w:start="4032" w:end="0"/>
        <w:rPr>
          <w:color w:val="000000"/>
        </w:rPr>
      </w:pPr>
      <w:r>
        <w:rPr>
          <w:color w:val="000000"/>
        </w:rPr>
        <w:t xml:space="preserve">Donald A. Kaplan, Esq. </w:t>
      </w:r>
    </w:p>
    <w:p>
      <w:pPr>
        <w:pStyle w:val="Signature"/>
        <w:widowControl w:val="false"/>
        <w:spacing w:lineRule="auto" w:line="240"/>
        <w:ind w:start="4032" w:end="0"/>
        <w:rPr>
          <w:color w:val="000000"/>
        </w:rPr>
      </w:pPr>
      <w:r>
        <w:rPr>
          <w:color w:val="000000"/>
        </w:rPr>
        <w:t xml:space="preserve">John Longstreth, Esq. </w:t>
      </w:r>
    </w:p>
    <w:p>
      <w:pPr>
        <w:pStyle w:val="Signature"/>
        <w:widowControl w:val="false"/>
        <w:spacing w:lineRule="auto" w:line="240"/>
        <w:ind w:start="4032" w:end="0"/>
        <w:rPr/>
      </w:pPr>
      <w:r>
        <w:rPr/>
        <w:t>Preston Gates Ellis</w:t>
      </w:r>
    </w:p>
    <w:p>
      <w:pPr>
        <w:pStyle w:val="Signature"/>
        <w:widowControl w:val="false"/>
        <w:spacing w:lineRule="auto" w:line="240"/>
        <w:ind w:start="4032" w:end="0"/>
        <w:rPr/>
      </w:pPr>
      <w:r>
        <w:rPr>
          <w:rFonts w:eastAsia="Arial"/>
        </w:rPr>
        <w:t xml:space="preserve">   </w:t>
      </w:r>
      <w:r>
        <w:rPr/>
        <w:t>&amp; Rouvelas Meeds LLP</w:t>
      </w:r>
    </w:p>
    <w:p>
      <w:pPr>
        <w:pStyle w:val="Signature"/>
        <w:widowControl w:val="false"/>
        <w:spacing w:lineRule="auto" w:line="240"/>
        <w:ind w:start="4032" w:end="0"/>
        <w:rPr/>
      </w:pPr>
      <w:r>
        <w:rPr/>
        <w:t>1735 New York Avenue, NW, Suite 500</w:t>
      </w:r>
    </w:p>
    <w:p>
      <w:pPr>
        <w:pStyle w:val="Signature"/>
        <w:widowControl w:val="false"/>
        <w:spacing w:lineRule="auto" w:line="240"/>
        <w:ind w:start="4032" w:end="0"/>
        <w:rPr/>
      </w:pPr>
      <w:r>
        <w:rPr/>
        <w:t>Washington, DC  20006</w:t>
      </w:r>
    </w:p>
    <w:p>
      <w:pPr>
        <w:pStyle w:val="Signature"/>
        <w:widowControl w:val="false"/>
        <w:tabs>
          <w:tab w:val="left" w:pos="4680" w:leader="none"/>
          <w:tab w:val="left" w:pos="5220" w:leader="none"/>
        </w:tabs>
        <w:spacing w:lineRule="auto" w:line="240"/>
        <w:ind w:start="4032" w:end="0"/>
        <w:rPr/>
      </w:pPr>
      <w:r>
        <w:rPr/>
      </w:r>
    </w:p>
    <w:p>
      <w:pPr>
        <w:pStyle w:val="Signature"/>
        <w:widowControl w:val="false"/>
        <w:tabs>
          <w:tab w:val="left" w:pos="4680" w:leader="none"/>
          <w:tab w:val="left" w:pos="5220" w:leader="none"/>
        </w:tabs>
        <w:spacing w:lineRule="auto" w:line="240"/>
        <w:ind w:start="4032" w:end="0"/>
        <w:rPr/>
      </w:pPr>
      <w:r>
        <w:rPr/>
        <w:t>By</w:t>
        <w:tab/>
        <w:t>___________________________</w:t>
      </w:r>
    </w:p>
    <w:p>
      <w:pPr>
        <w:pStyle w:val="Signature"/>
        <w:widowControl w:val="false"/>
        <w:tabs>
          <w:tab w:val="left" w:pos="4680" w:leader="none"/>
          <w:tab w:val="left" w:pos="5220" w:leader="none"/>
        </w:tabs>
        <w:spacing w:lineRule="auto" w:line="240"/>
        <w:ind w:start="4032" w:end="0"/>
        <w:rPr/>
      </w:pPr>
      <w:r>
        <w:rPr/>
        <w:tab/>
        <w:t xml:space="preserve">Attorneys for PPL Montana, LLC and </w:t>
        <w:tab/>
        <w:t xml:space="preserve">PPL EnergyPlus, LLC </w:t>
      </w:r>
    </w:p>
    <w:p>
      <w:pPr>
        <w:pStyle w:val="Signature"/>
        <w:widowControl w:val="false"/>
        <w:tabs>
          <w:tab w:val="left" w:pos="1440" w:leader="none"/>
          <w:tab w:val="left" w:pos="4320" w:leader="none"/>
          <w:tab w:val="left" w:pos="4680" w:leader="none"/>
          <w:tab w:val="left" w:pos="5220" w:leader="none"/>
        </w:tabs>
        <w:ind w:start="0" w:end="0"/>
        <w:rPr/>
      </w:pPr>
      <w:r>
        <w:rPr/>
      </w:r>
    </w:p>
    <w:p>
      <w:pPr>
        <w:pStyle w:val="Signature"/>
        <w:widowControl w:val="false"/>
        <w:tabs>
          <w:tab w:val="left" w:pos="1440" w:leader="none"/>
          <w:tab w:val="left" w:pos="4320" w:leader="none"/>
          <w:tab w:val="left" w:pos="4680" w:leader="none"/>
          <w:tab w:val="left" w:pos="5220" w:leader="none"/>
        </w:tabs>
        <w:ind w:start="0" w:end="0"/>
        <w:rPr/>
      </w:pPr>
      <w:r>
        <w:rPr/>
        <w:t>Dated:  November 21, 2001</w:t>
      </w:r>
      <w:r>
        <w:br w:type="page"/>
      </w:r>
    </w:p>
    <w:p>
      <w:pPr>
        <w:pStyle w:val="Signature"/>
        <w:widowControl w:val="false"/>
        <w:tabs>
          <w:tab w:val="left" w:pos="1440" w:leader="none"/>
          <w:tab w:val="left" w:pos="4320" w:leader="none"/>
          <w:tab w:val="left" w:pos="4680" w:leader="none"/>
          <w:tab w:val="left" w:pos="5220" w:leader="none"/>
        </w:tabs>
        <w:ind w:start="0" w:end="0"/>
        <w:rPr>
          <w:rFonts w:cs="Arial"/>
        </w:rPr>
      </w:pPr>
      <w:r>
        <w:rPr>
          <w:rFonts w:cs="Arial"/>
        </w:rPr>
      </w:r>
    </w:p>
    <w:p>
      <w:pPr>
        <w:pStyle w:val="Signature"/>
        <w:widowControl w:val="false"/>
        <w:tabs>
          <w:tab w:val="left" w:pos="1440" w:leader="none"/>
          <w:tab w:val="left" w:pos="4320" w:leader="none"/>
          <w:tab w:val="left" w:pos="4680" w:leader="none"/>
          <w:tab w:val="left" w:pos="5220" w:leader="none"/>
        </w:tabs>
        <w:spacing w:lineRule="auto" w:line="240"/>
        <w:ind w:start="0" w:end="0"/>
        <w:jc w:val="center"/>
        <w:rPr>
          <w:rFonts w:cs="Arial"/>
          <w:b/>
        </w:rPr>
      </w:pPr>
      <w:r>
        <w:rPr>
          <w:rFonts w:cs="Arial"/>
          <w:b/>
        </w:rPr>
        <w:t>CERTIFICATE OF SERVICE</w:t>
      </w:r>
    </w:p>
    <w:p>
      <w:pPr>
        <w:pStyle w:val="Normal"/>
        <w:widowControl w:val="false"/>
        <w:rPr>
          <w:rFonts w:ascii="Arial" w:hAnsi="Arial" w:cs="Arial"/>
          <w:b/>
        </w:rPr>
      </w:pPr>
      <w:r>
        <w:rPr>
          <w:rFonts w:cs="Arial" w:ascii="Arial" w:hAnsi="Arial"/>
          <w:b/>
        </w:rPr>
      </w:r>
    </w:p>
    <w:p>
      <w:pPr>
        <w:pStyle w:val="Normal"/>
        <w:widowControl w:val="false"/>
        <w:rPr>
          <w:rFonts w:ascii="Arial" w:hAnsi="Arial" w:cs="Arial"/>
        </w:rPr>
      </w:pPr>
      <w:r>
        <w:rPr>
          <w:rFonts w:cs="Arial" w:ascii="Arial" w:hAnsi="Arial"/>
        </w:rPr>
        <w:t>I hereby certify that I served a copy of the foregoing this 21st day of November 2001 by Listserv as directed by the Presiding Judge’s Order of November 15, 2001.</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ind w:start="3600" w:end="0"/>
        <w:rPr>
          <w:rFonts w:ascii="Arial" w:hAnsi="Arial" w:cs="Arial"/>
        </w:rPr>
      </w:pPr>
      <w:r>
        <w:rPr>
          <w:rFonts w:cs="Arial" w:ascii="Arial" w:hAnsi="Arial"/>
        </w:rPr>
        <w:t>__________/s/_________________</w:t>
      </w:r>
    </w:p>
    <w:p>
      <w:pPr>
        <w:pStyle w:val="Normal"/>
        <w:ind w:start="3600" w:end="0"/>
        <w:rPr>
          <w:rFonts w:ascii="Arial" w:hAnsi="Arial" w:cs="Arial"/>
        </w:rPr>
      </w:pPr>
      <w:r>
        <w:rPr>
          <w:rFonts w:cs="Arial" w:ascii="Arial" w:hAnsi="Arial"/>
        </w:rPr>
        <w:t>John Longstreth</w:t>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kern w:val="2"/>
      <w:sz w:val="26"/>
    </w:rPr>
  </w:style>
  <w:style w:type="paragraph" w:styleId="Heading2">
    <w:name w:val="heading 2"/>
    <w:basedOn w:val="Heading1"/>
    <w:next w:val="BodyText"/>
    <w:qFormat/>
    <w:pPr>
      <w:numPr>
        <w:ilvl w:val="1"/>
        <w:numId w:val="1"/>
      </w:numPr>
      <w:tabs>
        <w:tab w:val="clear" w:pos="720"/>
        <w:tab w:val="left" w:pos="360" w:leader="none"/>
      </w:tabs>
      <w:outlineLvl w:val="1"/>
    </w:pPr>
    <w:rPr>
      <w:caps w:val="false"/>
      <w:smallCaps w:val="false"/>
    </w:rPr>
  </w:style>
  <w:style w:type="paragraph" w:styleId="Heading3">
    <w:name w:val="heading 3"/>
    <w:basedOn w:val="Heading2"/>
    <w:next w:val="BodyText"/>
    <w:qFormat/>
    <w:pPr>
      <w:keepNext w:val="false"/>
      <w:numPr>
        <w:ilvl w:val="2"/>
        <w:numId w:val="1"/>
      </w:numPr>
      <w:outlineLvl w:val="2"/>
    </w:pPr>
    <w:rPr>
      <w:b w:val="false"/>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DefaultParagraphFont">
    <w:name w:val="Default Paragraph Font"/>
    <w:qFormat/>
    <w:rPr/>
  </w:style>
  <w:style w:type="character" w:styleId="FootnoteCharacters">
    <w:name w:val="Footnote Characters"/>
    <w:basedOn w:val="DefaultParagraphFont"/>
    <w:qFormat/>
    <w:rPr>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Block">
    <w:name w:val="SigBlock"/>
    <w:basedOn w:val="Normal"/>
    <w:next w:val="Normal"/>
    <w:qFormat/>
    <w:pPr>
      <w:keepLines/>
      <w:ind w:hanging="0" w:start="4320" w:end="0"/>
    </w:pPr>
    <w:rPr/>
  </w:style>
  <w:style w:type="paragraph" w:styleId="FootnoteText">
    <w:name w:val="footnote text"/>
    <w:basedOn w:val="Normal"/>
    <w:pPr>
      <w:spacing w:before="0" w:after="12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lineRule="auto" w:line="480"/>
      <w:ind w:firstLine="720" w:start="0" w:end="0"/>
      <w:jc w:val="both"/>
    </w:pPr>
    <w:rPr>
      <w:rFonts w:ascii="Arial" w:hAnsi="Arial" w:cs="Arial"/>
      <w:szCs w:val="24"/>
    </w:rPr>
  </w:style>
  <w:style w:type="paragraph" w:styleId="Signature">
    <w:name w:val="Signature"/>
    <w:basedOn w:val="Normal"/>
    <w:pPr>
      <w:tabs>
        <w:tab w:val="clear" w:pos="720"/>
        <w:tab w:val="left" w:pos="4680" w:leader="none"/>
      </w:tabs>
      <w:spacing w:lineRule="auto" w:line="480"/>
      <w:ind w:hanging="0" w:start="4320" w:end="0"/>
      <w:jc w:val="both"/>
    </w:pPr>
    <w:rPr>
      <w:rFonts w:ascii="Arial" w:hAnsi="Arial" w:cs="Arial"/>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2001-11-21T17:18:00Z</dcterms:created>
  <dc:creator>John Longstreth</dc:creator>
  <dc:description/>
  <dc:language>en-CA</dc:language>
  <cp:lastModifiedBy>John Longstreth</cp:lastModifiedBy>
  <cp:lastPrinted>2001-11-21T12:24:00Z</cp:lastPrinted>
  <dcterms:modified xsi:type="dcterms:W3CDTF">2001-11-21T17:18:00Z</dcterms:modified>
  <cp:revision>2</cp:revision>
  <dc:subject/>
  <dc:title>Staff/PPL-1</dc:title>
</cp:coreProperties>
</file>