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Normal"/>
        <w:rPr/>
      </w:pPr>
      <w:r>
        <w:rPr/>
      </w:r>
    </w:p>
    <w:p>
      <w:pPr>
        <w:pStyle w:val="Heading1"/>
        <w:ind w:hanging="0" w:start="0"/>
        <w:jc w:val="end"/>
        <w:rPr/>
      </w:pPr>
      <w:r>
        <w:rPr/>
      </w:r>
    </w:p>
    <w:p>
      <w:pPr>
        <w:pStyle w:val="Normal"/>
        <w:rPr>
          <w:sz w:val="24"/>
        </w:rPr>
      </w:pPr>
      <w:r>
        <w:rPr>
          <w:sz w:val="24"/>
        </w:rPr>
        <w:tab/>
        <w:tab/>
        <w:tab/>
        <w:t>(EnronOnline Letterhead)</w:t>
      </w:r>
    </w:p>
    <w:p>
      <w:pPr>
        <w:pStyle w:val="Heading1"/>
        <w:ind w:firstLine="720" w:start="3600" w:end="0"/>
        <w:jc w:val="center"/>
        <w:rPr/>
      </w:pPr>
      <w:r>
        <w:rPr/>
        <w:t>June 25, 2001</w:t>
      </w:r>
    </w:p>
    <w:p>
      <w:pPr>
        <w:pStyle w:val="Heading1"/>
        <w:ind w:hanging="0" w:start="0"/>
        <w:rPr>
          <w:b/>
        </w:rPr>
      </w:pPr>
      <w:r>
        <w:rPr>
          <w:b/>
        </w:rPr>
      </w:r>
    </w:p>
    <w:p>
      <w:pPr>
        <w:pStyle w:val="Heading1"/>
        <w:ind w:hanging="0" w:start="0"/>
        <w:rPr>
          <w:b/>
        </w:rPr>
      </w:pPr>
      <w:r>
        <w:rPr>
          <w:b/>
        </w:rPr>
      </w:r>
    </w:p>
    <w:p>
      <w:pPr>
        <w:pStyle w:val="Normal"/>
        <w:rPr>
          <w:sz w:val="24"/>
        </w:rPr>
      </w:pPr>
      <w:r>
        <w:rPr>
          <w:sz w:val="24"/>
        </w:rPr>
        <w:t>PPL Montana, LLC</w:t>
      </w:r>
    </w:p>
    <w:p>
      <w:pPr>
        <w:pStyle w:val="Normal"/>
        <w:rPr>
          <w:sz w:val="24"/>
        </w:rPr>
      </w:pPr>
      <w:r>
        <w:rPr>
          <w:sz w:val="24"/>
        </w:rPr>
        <w:t>45 Basin Creek Road</w:t>
      </w:r>
    </w:p>
    <w:p>
      <w:pPr>
        <w:pStyle w:val="Normal"/>
        <w:rPr>
          <w:sz w:val="24"/>
        </w:rPr>
      </w:pPr>
      <w:r>
        <w:rPr>
          <w:sz w:val="24"/>
        </w:rPr>
        <w:t>Butte, MT  59701</w:t>
      </w:r>
    </w:p>
    <w:p>
      <w:pPr>
        <w:pStyle w:val="Normal"/>
        <w:rPr>
          <w:sz w:val="24"/>
        </w:rPr>
      </w:pPr>
      <w:r>
        <w:rPr>
          <w:sz w:val="24"/>
        </w:rPr>
      </w:r>
    </w:p>
    <w:p>
      <w:pPr>
        <w:pStyle w:val="Normal"/>
        <w:rPr>
          <w:sz w:val="24"/>
        </w:rPr>
      </w:pPr>
      <w:r>
        <w:rPr>
          <w:sz w:val="24"/>
        </w:rPr>
        <w:t>Attention: Rose Spear</w:t>
      </w:r>
    </w:p>
    <w:p>
      <w:pPr>
        <w:pStyle w:val="Normal"/>
        <w:rPr>
          <w:sz w:val="24"/>
        </w:rPr>
      </w:pPr>
      <w:r>
        <w:rPr>
          <w:sz w:val="24"/>
        </w:rPr>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Ms. Spear:</w:t>
      </w:r>
    </w:p>
    <w:p>
      <w:pPr>
        <w:pStyle w:val="Normal"/>
        <w:rPr>
          <w:sz w:val="24"/>
        </w:rPr>
      </w:pPr>
      <w:r>
        <w:rPr>
          <w:sz w:val="24"/>
        </w:rPr>
      </w:r>
    </w:p>
    <w:p>
      <w:pPr>
        <w:pStyle w:val="BodyText2"/>
        <w:rPr/>
      </w:pPr>
      <w:r>
        <w:rPr/>
        <w:t>This letter will serve as our agreement to the following changes to the Electronic Trading Agreement (the “ETA”) that must be accepted by PPL Montana, LLC (“PPL”) on the EnronOnline web site before using the site for trading:</w:t>
      </w:r>
    </w:p>
    <w:p>
      <w:pPr>
        <w:pStyle w:val="Normal"/>
        <w:rPr>
          <w:sz w:val="24"/>
        </w:rPr>
      </w:pPr>
      <w:r>
        <w:rPr>
          <w:sz w:val="24"/>
        </w:rPr>
      </w:r>
    </w:p>
    <w:p>
      <w:pPr>
        <w:pStyle w:val="BodyText2"/>
        <w:numPr>
          <w:ilvl w:val="0"/>
          <w:numId w:val="3"/>
        </w:numPr>
        <w:tabs>
          <w:tab w:val="clear" w:pos="720"/>
          <w:tab w:val="left" w:pos="0" w:leader="none"/>
        </w:tabs>
        <w:ind w:hanging="0" w:start="0" w:end="0"/>
        <w:rPr/>
      </w:pPr>
      <w:r>
        <w:rPr/>
        <w:t>As stated in Section 3(a) of the ETA, each Transaction executed by PPL through the Website is subject to any master agreement between PPL and the Enron entity trading in such product on the Website that is in effect as of the date of execution of such Transaction.  The parties hereby acknowledge that for so long as both Enron Power Marketing, Inc. (“EPMI”) and PPL both remain members of the Western Systems Power Pool, any U.S. West power transaction entered into on the Website shall be governed by the Western Systems Power Pool Agreement, as amended from time to time.  Acceptance of an online GTC will not be required for such transactions.  Transactions entered into via the Website which are not covered by any master agreement in place between the parties will be covered by an online GTC.  The trader will be asked to accept the GTC the first time a trade is submitted for that product type.  That GTC will cover all subsequent transactions for that product type until a relevant master agreement is executed.</w:t>
      </w:r>
    </w:p>
    <w:p>
      <w:pPr>
        <w:pStyle w:val="BodyText2"/>
        <w:ind w:start="360" w:end="0"/>
        <w:rPr/>
      </w:pPr>
      <w:r>
        <w:rPr/>
      </w:r>
    </w:p>
    <w:p>
      <w:pPr>
        <w:pStyle w:val="BodyText3"/>
        <w:jc w:val="both"/>
        <w:rPr/>
      </w:pPr>
      <w:r>
        <w:rPr/>
        <w:t>2.  Section 4(b)(ii) of the ETA is hereby amended by inserting the words “, unless such access, entry or action taken or not taken arises from the gross negligence or intential misconduct of Enron and its directors, officers, employees, agents or contractors” at the end of such section.</w:t>
      </w:r>
    </w:p>
    <w:p>
      <w:pPr>
        <w:pStyle w:val="Normal"/>
        <w:jc w:val="both"/>
        <w:rPr>
          <w:color w:val="000000"/>
          <w:sz w:val="24"/>
        </w:rPr>
      </w:pPr>
      <w:r>
        <w:rPr>
          <w:color w:val="000000"/>
          <w:sz w:val="24"/>
        </w:rPr>
      </w:r>
    </w:p>
    <w:p>
      <w:pPr>
        <w:pStyle w:val="BodyText3"/>
        <w:tabs>
          <w:tab w:val="clear" w:pos="720"/>
          <w:tab w:val="left" w:pos="360" w:leader="none"/>
        </w:tabs>
        <w:jc w:val="both"/>
        <w:rPr/>
      </w:pPr>
      <w:r>
        <w:rPr/>
        <w:t>3.</w:t>
        <w:tab/>
        <w:t>Section 6(c) is hereby amended by inserting the words “incurred by Counterparty” after the phrase “third party costs”.</w:t>
      </w:r>
    </w:p>
    <w:p>
      <w:pPr>
        <w:pStyle w:val="BodyText3"/>
        <w:tabs>
          <w:tab w:val="clear" w:pos="720"/>
          <w:tab w:val="left" w:pos="360" w:leader="none"/>
        </w:tabs>
        <w:jc w:val="both"/>
        <w:rPr>
          <w:rFonts w:ascii="Book Antiqua" w:hAnsi="Book Antiqua" w:cs="Book Antiqua"/>
          <w:caps/>
        </w:rPr>
      </w:pPr>
      <w:r>
        <w:rPr>
          <w:rFonts w:cs="Book Antiqua" w:ascii="Book Antiqua" w:hAnsi="Book Antiqua"/>
          <w:caps/>
        </w:rPr>
      </w:r>
    </w:p>
    <w:p>
      <w:pPr>
        <w:pStyle w:val="BodyText3"/>
        <w:numPr>
          <w:ilvl w:val="0"/>
          <w:numId w:val="2"/>
        </w:numPr>
        <w:tabs>
          <w:tab w:val="clear" w:pos="720"/>
          <w:tab w:val="left" w:pos="360" w:leader="none"/>
        </w:tabs>
        <w:ind w:hanging="0" w:start="0" w:end="0"/>
        <w:rPr/>
      </w:pPr>
      <w:r>
        <w:rPr/>
        <w:t>No amendment or modification to this letter agreement or the ETA shall be enforceable unless reduced to writing and executed by both PPL and Enron, or, in the case of an amendment to the ETA, unless PPL indicates its acceptance to any amended ETA posted on the Website by “clicking” on the designated spaces in the agreement.</w:t>
      </w:r>
    </w:p>
    <w:p>
      <w:pPr>
        <w:pStyle w:val="Normal"/>
        <w:tabs>
          <w:tab w:val="clear" w:pos="720"/>
          <w:tab w:val="left" w:pos="360" w:leader="none"/>
        </w:tabs>
        <w:rPr>
          <w:color w:val="000000"/>
          <w:sz w:val="24"/>
        </w:rPr>
      </w:pPr>
      <w:r>
        <w:rPr>
          <w:color w:val="000000"/>
          <w:sz w:val="24"/>
        </w:rPr>
      </w:r>
      <w:r>
        <w:br w:type="page"/>
      </w:r>
    </w:p>
    <w:p>
      <w:pPr>
        <w:pStyle w:val="Normal"/>
        <w:rPr>
          <w:sz w:val="24"/>
        </w:rPr>
      </w:pPr>
      <w:r>
        <w:rPr>
          <w:sz w:val="24"/>
        </w:rPr>
        <w:t>Please indicate PPL’s agreement to the foregoing by arranging execution of this letter agreement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Online, LLC</w:t>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PPL Montana, LLC</w:t>
      </w:r>
    </w:p>
    <w:p>
      <w:pPr>
        <w:pStyle w:val="Normal"/>
        <w:rPr>
          <w:sz w:val="24"/>
        </w:rPr>
      </w:pPr>
      <w:r>
        <w:rPr>
          <w:sz w:val="24"/>
        </w:rPr>
      </w:r>
    </w:p>
    <w:p>
      <w:pPr>
        <w:pStyle w:val="Normal"/>
        <w:rPr>
          <w:sz w:val="24"/>
        </w:rPr>
      </w:pPr>
      <w:r>
        <w:rPr>
          <w:sz w:val="24"/>
        </w:rPr>
      </w:r>
    </w:p>
    <w:p>
      <w:pPr>
        <w:pStyle w:val="Normal"/>
        <w:rPr>
          <w:sz w:val="24"/>
        </w:rPr>
      </w:pPr>
      <w:r>
        <w:rPr>
          <w:sz w:val="24"/>
        </w:rPr>
        <w:t>By:______________________</w:t>
      </w:r>
    </w:p>
    <w:p>
      <w:pPr>
        <w:pStyle w:val="Heading1"/>
        <w:ind w:hanging="0" w:start="0"/>
        <w:rPr/>
      </w:pPr>
      <w:r>
        <w:rPr/>
        <w:t>Name:___________________</w:t>
      </w:r>
    </w:p>
    <w:p>
      <w:pPr>
        <w:pStyle w:val="Heading1"/>
        <w:ind w:hanging="0" w:start="0"/>
        <w:rPr/>
      </w:pPr>
      <w:r>
        <w:rPr/>
        <w:t>Title:____________________</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PPL Montana, LLC</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50"/>
        </w:tabs>
        <w:ind w:start="750" w:hanging="39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2000-10-31T15:02:00Z</dcterms:created>
  <dc:creator>mtaylo1</dc:creator>
  <dc:description/>
  <dc:language>en-CA</dc:language>
  <cp:lastModifiedBy>leslie hansen</cp:lastModifiedBy>
  <cp:lastPrinted>2000-08-04T14:49:00Z</cp:lastPrinted>
  <dcterms:modified xsi:type="dcterms:W3CDTF">2001-06-25T13:54:00Z</dcterms:modified>
  <cp:revision>4</cp:revision>
  <dc:subject/>
  <dc:title>J</dc:title>
</cp:coreProperties>
</file>