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sz w:val="32"/>
        </w:rPr>
      </w:pPr>
      <w:r>
        <w:rPr>
          <w:b/>
          <w:sz w:val="32"/>
        </w:rPr>
        <w:t>PP&amp; L Inc.</w:t>
      </w:r>
    </w:p>
    <w:p>
      <w:pPr>
        <w:pStyle w:val="Normal"/>
        <w:jc w:val="center"/>
        <w:rPr>
          <w:b/>
          <w:sz w:val="32"/>
        </w:rPr>
      </w:pPr>
      <w:r>
        <w:rPr>
          <w:b/>
          <w:sz w:val="32"/>
        </w:rPr>
      </w:r>
    </w:p>
    <w:p>
      <w:pPr>
        <w:pStyle w:val="Normal"/>
        <w:jc w:val="center"/>
        <w:rPr>
          <w:b/>
        </w:rPr>
      </w:pPr>
      <w:r>
        <w:rPr>
          <w:b/>
        </w:rPr>
        <w:t xml:space="preserve">SUMMARY OF CERTAIN TERMS AND CONDITIONS </w:t>
      </w:r>
    </w:p>
    <w:p>
      <w:pPr>
        <w:pStyle w:val="Normal"/>
        <w:jc w:val="center"/>
        <w:rPr>
          <w:b/>
        </w:rPr>
      </w:pPr>
      <w:r>
        <w:rPr>
          <w:b/>
        </w:rPr>
      </w:r>
    </w:p>
    <w:p>
      <w:pPr>
        <w:pStyle w:val="BodyText3"/>
        <w:rPr/>
      </w:pPr>
      <w:r>
        <w:rPr/>
        <w:t xml:space="preserve">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w:t>
      </w:r>
    </w:p>
    <w:p>
      <w:pPr>
        <w:pStyle w:val="BodyText3"/>
        <w:rPr>
          <w:b w:val="false"/>
          <w:caps w:val="false"/>
          <w:smallCaps w:val="false"/>
        </w:rPr>
      </w:pPr>
      <w:r>
        <w:rPr>
          <w:b w:val="false"/>
          <w:caps w:val="false"/>
          <w:smallCaps w:val="false"/>
        </w:rPr>
      </w:r>
    </w:p>
    <w:p>
      <w:pPr>
        <w:pStyle w:val="Normal"/>
        <w:rPr>
          <w:b/>
          <w:smallCaps/>
        </w:rPr>
      </w:pPr>
      <w:r>
        <w:rPr>
          <w:b/>
          <w:smallCaps/>
        </w:rPr>
      </w:r>
    </w:p>
    <w:p>
      <w:pPr>
        <w:pStyle w:val="Normal"/>
        <w:rPr>
          <w:b/>
          <w:smallCaps/>
        </w:rPr>
      </w:pPr>
      <w:r>
        <w:rPr>
          <w:b/>
          <w:smallCaps/>
        </w:rPr>
      </w:r>
    </w:p>
    <w:p>
      <w:pPr>
        <w:pStyle w:val="Heading1"/>
        <w:ind w:hanging="0" w:start="0"/>
        <w:rPr>
          <w:u w:val="single"/>
        </w:rPr>
      </w:pPr>
      <w:r>
        <w:rPr>
          <w:u w:val="single"/>
        </w:rPr>
        <w:t>Capacity -  EL Paso Natural Gas</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t>June 1, 2001, - May 31, 2006 ( 5 Years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 xml:space="preserve">The capacity will be assigned on a permanent basis at 100% of full tolls and PPL shall assume all obligations related to this capacity upon the approval and execution of the related transportation assignment documents as required by EPNG. </w:t>
      </w:r>
    </w:p>
    <w:p>
      <w:pPr>
        <w:pStyle w:val="BodyTextIndent"/>
        <w:rPr>
          <w:b/>
        </w:rPr>
      </w:pPr>
      <w:r>
        <w:rPr>
          <w:b/>
        </w:rPr>
        <w:tab/>
      </w:r>
    </w:p>
    <w:p>
      <w:pPr>
        <w:pStyle w:val="Normal"/>
        <w:tabs>
          <w:tab w:val="clear" w:pos="720"/>
          <w:tab w:val="left" w:pos="2880" w:leader="none"/>
        </w:tabs>
        <w:rPr/>
      </w:pPr>
      <w:r>
        <w:rPr>
          <w:b/>
        </w:rPr>
        <w:t xml:space="preserve">Delivered Volume: </w:t>
        <w:tab/>
      </w:r>
      <w:r>
        <w:rPr/>
        <w:t xml:space="preserve">15,000 MMbtu/Day </w:t>
      </w:r>
    </w:p>
    <w:p>
      <w:pPr>
        <w:pStyle w:val="Header"/>
        <w:tabs>
          <w:tab w:val="clear" w:pos="4680"/>
          <w:tab w:val="clear" w:pos="9360"/>
          <w:tab w:val="left" w:pos="2880" w:leader="none"/>
        </w:tabs>
        <w:rPr/>
      </w:pPr>
      <w:r>
        <w:rPr/>
      </w:r>
    </w:p>
    <w:p>
      <w:pPr>
        <w:pStyle w:val="Normal"/>
        <w:rPr/>
      </w:pPr>
      <w:r>
        <w:rPr>
          <w:b/>
        </w:rPr>
        <w:t>Delivery Point:</w:t>
        <w:tab/>
        <w:tab/>
      </w:r>
      <w:r>
        <w:rPr/>
        <w:t>PG&amp;E/Topock</w:t>
      </w:r>
      <w:r>
        <w:rPr>
          <w:b/>
        </w:rPr>
        <w:t xml:space="preserve"> </w:t>
      </w:r>
    </w:p>
    <w:p>
      <w:pPr>
        <w:pStyle w:val="Normal"/>
        <w:rPr>
          <w:b/>
        </w:rPr>
      </w:pPr>
      <w:r>
        <w:rPr>
          <w:b/>
        </w:rPr>
      </w:r>
    </w:p>
    <w:p>
      <w:pPr>
        <w:pStyle w:val="Normal"/>
        <w:rPr/>
      </w:pPr>
      <w:r>
        <w:rPr>
          <w:b/>
        </w:rPr>
        <w:t>Receipt Point:</w:t>
        <w:tab/>
        <w:tab/>
      </w:r>
      <w:r>
        <w:rPr/>
        <w:t>SanJuan/Anadarko/ Permian</w:t>
      </w:r>
    </w:p>
    <w:p>
      <w:pPr>
        <w:pStyle w:val="Normal"/>
        <w:rPr>
          <w:b/>
        </w:rPr>
      </w:pPr>
      <w:r>
        <w:rPr>
          <w:b/>
        </w:rPr>
      </w:r>
    </w:p>
    <w:p>
      <w:pPr>
        <w:pStyle w:val="Normal"/>
        <w:rPr/>
      </w:pPr>
      <w:r>
        <w:rPr>
          <w:b/>
        </w:rPr>
        <w:t>Assignee:</w:t>
        <w:tab/>
        <w:tab/>
        <w:tab/>
      </w:r>
      <w:r>
        <w:rPr/>
        <w:t>PPL</w:t>
      </w:r>
    </w:p>
    <w:p>
      <w:pPr>
        <w:pStyle w:val="Normal"/>
        <w:rPr>
          <w:b/>
        </w:rPr>
      </w:pPr>
      <w:r>
        <w:rPr>
          <w:b/>
        </w:rPr>
      </w:r>
    </w:p>
    <w:p>
      <w:pPr>
        <w:pStyle w:val="Normal"/>
        <w:rPr/>
      </w:pPr>
      <w:r>
        <w:rPr>
          <w:b/>
        </w:rPr>
        <w:t>Assignor:</w:t>
        <w:tab/>
        <w:tab/>
        <w:tab/>
      </w:r>
      <w:r>
        <w:rPr/>
        <w:t>Enron North America</w:t>
      </w:r>
    </w:p>
    <w:p>
      <w:pPr>
        <w:pStyle w:val="Normal"/>
        <w:rPr/>
      </w:pPr>
      <w:r>
        <w:rPr/>
      </w:r>
    </w:p>
    <w:p>
      <w:pPr>
        <w:pStyle w:val="Normal"/>
        <w:tabs>
          <w:tab w:val="clear" w:pos="720"/>
          <w:tab w:val="left" w:pos="2880" w:leader="none"/>
        </w:tabs>
        <w:ind w:hanging="2880" w:start="2880" w:end="0"/>
        <w:rPr/>
      </w:pPr>
      <w:r>
        <w:rPr>
          <w:b/>
          <w:u w:val="single"/>
        </w:rPr>
        <w:t>Economics:</w:t>
      </w:r>
      <w:r>
        <w:rPr>
          <w:b/>
        </w:rPr>
        <w:tab/>
      </w:r>
      <w:r>
        <w:rPr/>
        <w:t xml:space="preserve">ENA is valuing this capacity at  $1.08 US/MMbtu which represents approximately $ .575 US/MMbtu above the posted full toll ( Incl. Fuel ). </w:t>
      </w:r>
    </w:p>
    <w:p>
      <w:pPr>
        <w:pStyle w:val="Normal"/>
        <w:tabs>
          <w:tab w:val="clear" w:pos="720"/>
          <w:tab w:val="left" w:pos="2880" w:leader="none"/>
        </w:tabs>
        <w:ind w:hanging="2880" w:start="2880" w:end="0"/>
        <w:rPr>
          <w:u w:val="single"/>
        </w:rPr>
      </w:pPr>
      <w:r>
        <w:rPr>
          <w:u w:val="single"/>
        </w:rPr>
      </w:r>
    </w:p>
    <w:p>
      <w:pPr>
        <w:pStyle w:val="Normal"/>
        <w:tabs>
          <w:tab w:val="clear" w:pos="720"/>
          <w:tab w:val="left" w:pos="2880" w:leader="none"/>
        </w:tabs>
        <w:ind w:hanging="2880" w:start="2880" w:end="0"/>
        <w:rPr/>
      </w:pPr>
      <w:r>
        <w:rPr/>
        <w:tab/>
        <w:t>Recovery to ENA from PPL can be achieved in a variety of ways including.</w:t>
      </w:r>
    </w:p>
    <w:p>
      <w:pPr>
        <w:pStyle w:val="Normal"/>
        <w:numPr>
          <w:ilvl w:val="0"/>
          <w:numId w:val="2"/>
        </w:numPr>
        <w:tabs>
          <w:tab w:val="clear" w:pos="720"/>
          <w:tab w:val="left" w:pos="2880" w:leader="none"/>
        </w:tabs>
        <w:rPr/>
      </w:pPr>
      <w:r>
        <w:rPr/>
        <w:t>Create a buy/sell of commodity and lock in defined spread value for entire period.</w:t>
      </w:r>
    </w:p>
    <w:p>
      <w:pPr>
        <w:pStyle w:val="Normal"/>
        <w:numPr>
          <w:ilvl w:val="0"/>
          <w:numId w:val="2"/>
        </w:numPr>
        <w:tabs>
          <w:tab w:val="clear" w:pos="720"/>
          <w:tab w:val="left" w:pos="2880" w:leader="none"/>
        </w:tabs>
        <w:rPr/>
      </w:pPr>
      <w:r>
        <w:rPr/>
        <w:t>Create a buy/sell that allows ENA to recover spread in 1</w:t>
      </w:r>
      <w:r>
        <w:rPr>
          <w:vertAlign w:val="superscript"/>
        </w:rPr>
        <w:t>st</w:t>
      </w:r>
      <w:r>
        <w:rPr/>
        <w:t xml:space="preserve"> year of capacity release.</w:t>
      </w:r>
    </w:p>
    <w:p>
      <w:pPr>
        <w:pStyle w:val="Normal"/>
        <w:numPr>
          <w:ilvl w:val="0"/>
          <w:numId w:val="2"/>
        </w:numPr>
        <w:tabs>
          <w:tab w:val="clear" w:pos="720"/>
          <w:tab w:val="left" w:pos="2880" w:leader="none"/>
        </w:tabs>
        <w:rPr/>
      </w:pPr>
      <w:r>
        <w:rPr/>
        <w:t>Buy/Sell over 1month</w:t>
      </w:r>
    </w:p>
    <w:p>
      <w:pPr>
        <w:pStyle w:val="Normal"/>
        <w:numPr>
          <w:ilvl w:val="0"/>
          <w:numId w:val="2"/>
        </w:numPr>
        <w:tabs>
          <w:tab w:val="clear" w:pos="720"/>
          <w:tab w:val="left" w:pos="2880" w:leader="none"/>
        </w:tabs>
        <w:rPr/>
      </w:pPr>
      <w:r>
        <w:rPr/>
        <w:t>Lump sum payment from PPL to ENA based on the PV at applicable cost of funds agreed to by both parties.</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Renewal Rights</w:t>
      </w:r>
      <w:r>
        <w:rPr/>
        <w:t>:</w:t>
        <w:tab/>
        <w:t xml:space="preserve">PPL and ENA agree that all renewal rights related to this capacity shall be the property of ENA and PPL at ENA’s request will ensure that all provisions related to the renewal rights are maintained in good standing with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b/>
          <w:u w:val="single"/>
        </w:rPr>
        <w:t>Conditions Precedent:</w:t>
      </w:r>
      <w:r>
        <w:rPr/>
        <w:tab/>
        <w:t>(a) EPNG shall confirm that PPL satisfies the necessary creditworthiness requirements for the purposes of permitting the transfer of the Assigned Capacity to PPL.</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PPL shall provide all necessary documentation and credit covenants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jc w:val="both"/>
        <w:rPr>
          <w:sz w:val="22"/>
        </w:rPr>
      </w:pPr>
      <w:r>
        <w:rPr>
          <w:sz w:val="22"/>
        </w:rPr>
        <w:t xml:space="preserve">Please review this draft term sheet and contact me to discuss all of the details as required @ 713-853-1587.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___________________________________</w:t>
      </w:r>
    </w:p>
    <w:p>
      <w:pPr>
        <w:pStyle w:val="Normal"/>
        <w:tabs>
          <w:tab w:val="clear" w:pos="720"/>
          <w:tab w:val="left" w:pos="2880" w:leader="none"/>
        </w:tabs>
        <w:ind w:hanging="2880" w:start="2880" w:end="0"/>
        <w:jc w:val="both"/>
        <w:rPr/>
      </w:pPr>
      <w:r>
        <w:rPr/>
        <w:t xml:space="preserve">Barry Tycholiz </w:t>
      </w:r>
    </w:p>
    <w:p>
      <w:pPr>
        <w:pStyle w:val="Normal"/>
        <w:tabs>
          <w:tab w:val="clear" w:pos="720"/>
          <w:tab w:val="left" w:pos="2880" w:leader="none"/>
        </w:tabs>
        <w:ind w:hanging="2880" w:start="2880" w:end="0"/>
        <w:jc w:val="both"/>
        <w:rPr/>
      </w:pPr>
      <w:r>
        <w:rPr/>
        <w:t>Vice President, West Gas Origination</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PPL/ELPASO</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2001-02-27T18:45:00Z</dcterms:created>
  <dc:creator>David R. Keyes</dc:creator>
  <dc:description/>
  <dc:language>en-CA</dc:language>
  <cp:lastModifiedBy>btychol</cp:lastModifiedBy>
  <cp:lastPrinted>2001-02-27T19:19:00Z</cp:lastPrinted>
  <dcterms:modified xsi:type="dcterms:W3CDTF">2001-02-27T22:51:00Z</dcterms:modified>
  <cp:revision>4</cp:revision>
  <dc:subject/>
  <dc:title>SUMMARY OF TERMS AND CONDITIONS</dc:title>
</cp:coreProperties>
</file>