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8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17145</wp:posOffset>
                </wp:positionH>
                <wp:positionV relativeFrom="paragraph">
                  <wp:posOffset>13335</wp:posOffset>
                </wp:positionV>
                <wp:extent cx="6400800" cy="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.05pt" to="505.3pt,1.05pt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17145</wp:posOffset>
                </wp:positionH>
                <wp:positionV relativeFrom="paragraph">
                  <wp:posOffset>104775</wp:posOffset>
                </wp:positionV>
                <wp:extent cx="2743200" cy="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8.25pt" to="217.3pt,8.25pt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701" w:right="1418" w:gutter="0" w:header="731" w:top="1588" w:footer="680" w:bottom="260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1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96"/>
      </w:tblGrid>
      <w:tr>
        <w:trPr>
          <w:trHeight w:val="2100" w:hRule="atLeast"/>
        </w:trPr>
        <w:tc>
          <w:tcPr>
            <w:tcW w:w="719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  <w:bookmarkStart w:id="5" w:name="a10To"/>
            <w:bookmarkStart w:id="6" w:name="a10To"/>
            <w:bookmarkEnd w:id="6"/>
          </w:p>
          <w:p>
            <w:pPr>
              <w:pStyle w:val="Normal"/>
              <w:rPr/>
            </w:pPr>
            <w:bookmarkStart w:id="7" w:name="a29Address"/>
            <w:bookmarkEnd w:id="7"/>
            <w:r>
              <w:rPr/>
              <w:t>Mr Larry Charach</w:t>
            </w:r>
          </w:p>
          <w:p>
            <w:pPr>
              <w:pStyle w:val="Normal"/>
              <w:rPr/>
            </w:pPr>
            <w:r>
              <w:rPr/>
              <w:t>Director, Electricity Branch</w:t>
            </w:r>
          </w:p>
          <w:p>
            <w:pPr>
              <w:pStyle w:val="Normal"/>
              <w:rPr/>
            </w:pPr>
            <w:r>
              <w:rPr/>
              <w:t>Alberta Department of Resource Development</w:t>
            </w:r>
          </w:p>
          <w:p>
            <w:pPr>
              <w:pStyle w:val="Normal"/>
              <w:rPr/>
            </w:pPr>
            <w:r>
              <w:rPr/>
              <w:t>5th Floor, 9945 - 108th Street</w:t>
            </w:r>
          </w:p>
          <w:p>
            <w:pPr>
              <w:pStyle w:val="Normal"/>
              <w:rPr/>
            </w:pPr>
            <w:r>
              <w:rPr/>
              <w:t>Petroleum Plaza - North Tower</w:t>
            </w:r>
          </w:p>
          <w:p>
            <w:pPr>
              <w:pStyle w:val="Normal"/>
              <w:rPr/>
            </w:pPr>
            <w:r>
              <w:rPr/>
              <w:t>Edmonton, T5K 2G6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8" w:name="a13Date"/>
      <w:r>
        <w:rPr/>
        <w:t>8 June 2000</w:t>
      </w:r>
      <w:bookmarkEnd w:id="8"/>
    </w:p>
    <w:p>
      <w:pPr>
        <w:pStyle w:val="Normal"/>
        <w:rPr/>
      </w:pPr>
      <w:r>
        <w:rPr/>
      </w:r>
    </w:p>
    <w:p>
      <w:pPr>
        <w:pStyle w:val="Subject"/>
        <w:keepLines w:val="false"/>
        <w:rPr/>
      </w:pPr>
      <w:bookmarkStart w:id="9" w:name="a30Ref"/>
      <w:bookmarkEnd w:id="9"/>
      <w:r>
        <w:rPr/>
        <w:t>Subject: PPA 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 Charach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will confirm that correction of a typographical error in the Power Purchase Arrangements with respect to the Weighted Average Cost of Debt (WACD) is required.  </w:t>
      </w:r>
    </w:p>
    <w:p>
      <w:pPr>
        <w:pStyle w:val="Normal"/>
        <w:rPr/>
      </w:pPr>
      <w:r>
        <w:rPr/>
        <w:t>The formula for the calculation of WACD currently in the Schedules to the PPAs is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WACD</w:t>
      </w:r>
      <w:r>
        <w:rPr>
          <w:vertAlign w:val="subscript"/>
        </w:rPr>
        <w:t>uy</w:t>
      </w:r>
      <w:r>
        <w:rPr/>
        <w:t xml:space="preserve"> = 100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([XD</w:t>
      </w:r>
      <w:r>
        <w:rPr>
          <w:vertAlign w:val="subscript"/>
        </w:rPr>
        <w:t>uy</w:t>
      </w:r>
      <w:r>
        <w:rPr/>
        <w:t xml:space="preserve">/100]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[CED</w:t>
      </w:r>
      <w:r>
        <w:rPr>
          <w:vertAlign w:val="subscript"/>
        </w:rPr>
        <w:t>uy</w:t>
      </w:r>
      <w:r>
        <w:rPr/>
        <w:t xml:space="preserve"> / 100]) + ([1 – XD</w:t>
      </w:r>
      <w:r>
        <w:rPr>
          <w:vertAlign w:val="subscript"/>
        </w:rPr>
        <w:t>uy</w:t>
      </w:r>
      <w:r>
        <w:rPr/>
        <w:t xml:space="preserve">/100]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[CND</w:t>
      </w:r>
      <w:r>
        <w:rPr>
          <w:vertAlign w:val="subscript"/>
        </w:rPr>
        <w:t>uy</w:t>
      </w:r>
      <w:r>
        <w:rPr/>
        <w:t xml:space="preserve"> / 100]).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order to achieve the originally intended result, as reflected in the IAT’s July 9 report to the AEUB, it is necessary to insert an additional set of parentheses in the formula as follows, with the required parentheses inserted in bold: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WACD</w:t>
      </w:r>
      <w:r>
        <w:rPr>
          <w:vertAlign w:val="subscript"/>
        </w:rPr>
        <w:t>uy</w:t>
      </w:r>
      <w:r>
        <w:rPr/>
        <w:t xml:space="preserve"> = 100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</w:t>
      </w:r>
      <w:r>
        <w:rPr>
          <w:b/>
        </w:rPr>
        <w:t>[</w:t>
      </w:r>
      <w:r>
        <w:rPr/>
        <w:t>([XD</w:t>
      </w:r>
      <w:r>
        <w:rPr>
          <w:vertAlign w:val="subscript"/>
        </w:rPr>
        <w:t>uy</w:t>
      </w:r>
      <w:r>
        <w:rPr/>
        <w:t xml:space="preserve">/100]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[CED</w:t>
      </w:r>
      <w:r>
        <w:rPr>
          <w:vertAlign w:val="subscript"/>
        </w:rPr>
        <w:t>uy</w:t>
      </w:r>
      <w:r>
        <w:rPr/>
        <w:t xml:space="preserve"> / 100]) + ([1 – XD</w:t>
      </w:r>
      <w:r>
        <w:rPr>
          <w:vertAlign w:val="subscript"/>
        </w:rPr>
        <w:t>uy</w:t>
      </w:r>
      <w:r>
        <w:rPr/>
        <w:t xml:space="preserve">/100] </w:t>
      </w:r>
      <w:r>
        <w:rPr>
          <w:rFonts w:eastAsia="Symbol" w:cs="Symbol" w:ascii="Symbol" w:hAnsi="Symbol"/>
        </w:rPr>
        <w:sym w:font="Symbol" w:char="f0b4"/>
      </w:r>
      <w:r>
        <w:rPr/>
        <w:t xml:space="preserve"> [CND</w:t>
      </w:r>
      <w:r>
        <w:rPr>
          <w:vertAlign w:val="subscript"/>
        </w:rPr>
        <w:t>uy</w:t>
      </w:r>
      <w:r>
        <w:rPr/>
        <w:t xml:space="preserve"> / 100]) </w:t>
      </w:r>
      <w:r>
        <w:rPr>
          <w:b/>
        </w:rPr>
        <w:t>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A correction to the PPAs will be made accordingly.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10" w:name="a31Salutation"/>
      <w:bookmarkStart w:id="11" w:name="a14Subject"/>
      <w:bookmarkStart w:id="12" w:name="a31Salutation"/>
      <w:bookmarkStart w:id="13" w:name="a14Subject"/>
      <w:bookmarkEnd w:id="12"/>
      <w:bookmarkEnd w:id="13"/>
    </w:p>
    <w:p>
      <w:pPr>
        <w:pStyle w:val="Normal"/>
        <w:rPr/>
      </w:pPr>
      <w:r>
        <w:rPr/>
        <w:t>Yours very truly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Keith Anderson</w:t>
      </w:r>
    </w:p>
    <w:sectPr>
      <w:type w:val="continuous"/>
      <w:pgSz w:w="12240" w:h="15840"/>
      <w:pgMar w:left="1701" w:right="1418" w:gutter="0" w:header="731" w:top="1588" w:footer="680" w:bottom="260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45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8845"/>
    </w:tblGrid>
    <w:tr>
      <w:trPr>
        <w:trHeight w:val="1120" w:hRule="exact"/>
      </w:trPr>
      <w:tc>
        <w:tcPr>
          <w:tcW w:w="8845" w:type="dxa"/>
          <w:tcBorders/>
        </w:tcPr>
        <w:p>
          <w:pPr>
            <w:pStyle w:val="Normal"/>
            <w:spacing w:lineRule="exact" w:line="192"/>
            <w:rPr/>
          </w:pPr>
          <w:r>
            <w:rPr/>
            <w:t xml:space="preserve">  </w:t>
          </w:r>
        </w:p>
      </w:tc>
    </w:tr>
  </w:tbl>
  <w:p>
    <w:pPr>
      <w:pStyle w:val="Disclaimer"/>
      <w:rPr/>
    </w:pPr>
    <w:bookmarkStart w:id="4" w:name="Disc3"/>
    <w:r>
      <w:rPr/>
      <w:t>PricewaterhouseCoopers refers to the Canadian firm of PricewaterhouseCoopers LLP and other members of the worldwide PricewaterhouseCoopers organization.</w:t>
    </w:r>
    <w:bookmarkEnd w:id="4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5103"/>
      <w:gridCol w:w="2104"/>
      <w:gridCol w:w="2999"/>
    </w:tblGrid>
    <w:tr>
      <w:trPr>
        <w:trHeight w:val="996" w:hRule="exact"/>
      </w:trPr>
      <w:tc>
        <w:tcPr>
          <w:tcW w:w="5103" w:type="dxa"/>
          <w:tcBorders>
            <w:bottom w:val="single" w:sz="4" w:space="0" w:color="000000"/>
          </w:tcBorders>
        </w:tcPr>
        <w:p>
          <w:pPr>
            <w:pStyle w:val="Normal"/>
            <w:snapToGrid w:val="false"/>
            <w:rPr>
              <w:lang w:val="en-CA"/>
            </w:rPr>
          </w:pPr>
          <w:r>
            <w:rPr>
              <w:lang w:val="en-CA"/>
            </w:rPr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1029335</wp:posOffset>
                </wp:positionH>
                <wp:positionV relativeFrom="page">
                  <wp:posOffset>518160</wp:posOffset>
                </wp:positionV>
                <wp:extent cx="3140075" cy="367030"/>
                <wp:effectExtent l="0" t="0" r="0" b="0"/>
                <wp:wrapNone/>
                <wp:docPr id="3" name="LogoFil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Fil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" t="-26" r="-3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0075" cy="367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mc:AlternateContent>
              <mc:Choice Requires="wps">
                <w:drawing>
                  <wp:anchor behindDoc="1" distT="0" distB="0" distL="114935" distR="114935" simplePos="0" locked="0" layoutInCell="0" allowOverlap="1" relativeHeight="2">
                    <wp:simplePos x="0" y="0"/>
                    <wp:positionH relativeFrom="page">
                      <wp:posOffset>5616575</wp:posOffset>
                    </wp:positionH>
                    <wp:positionV relativeFrom="page">
                      <wp:posOffset>986790</wp:posOffset>
                    </wp:positionV>
                    <wp:extent cx="1839595" cy="2109470"/>
                    <wp:effectExtent l="0" t="0" r="0" b="0"/>
                    <wp:wrapNone/>
                    <wp:docPr id="4" name="Fram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39595" cy="2109470"/>
                            </a:xfrm>
                            <a:prstGeom prst="rect"/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Address"/>
                                  <w:rPr>
                                    <w:b/>
                                  </w:rPr>
                                </w:pPr>
                                <w:bookmarkStart w:id="0" w:name="Address"/>
                                <w:r>
                                  <w:rPr>
                                    <w:b/>
                                  </w:rPr>
                                  <w:t>PricewaterhouseCoopers LLP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425 1st Street SW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Suite 1200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Calgary Alberta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Canada T2P 3V7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Telephone +1 (403) 509 7500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Facsimile +1 (403) 781 1825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r>
                                  <w:rPr/>
                                  <w:t>Direct phone 403 509 7501</w:t>
                                </w:r>
                              </w:p>
                              <w:p>
                                <w:pPr>
                                  <w:pStyle w:val="Address"/>
                                  <w:rPr/>
                                </w:pPr>
                                <w:bookmarkStart w:id="1" w:name="Address"/>
                                <w:r>
                                  <w:rPr/>
                                  <w:t>Direct fax 403 781 1825</w:t>
                                </w:r>
                                <w:bookmarkEnd w:id="1"/>
                              </w:p>
                              <w:p>
                                <w:pPr>
                                  <w:pStyle w:val="Disclaimer"/>
                                  <w:rPr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Address"/>
                                  <w:pBdr>
                                    <w:left w:val="nil"/>
                                  </w:pBdr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anchor="t" lIns="108585" tIns="108585" rIns="92075" bIns="4635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yle="position:absolute;rotation:-0;width:144.85pt;height:166.1pt;mso-wrap-distance-left:9.05pt;mso-wrap-distance-right:9.05pt;mso-wrap-distance-top:0pt;mso-wrap-distance-bottom:0pt;margin-top:77.7pt;mso-position-vertical-relative:page;margin-left:442.25pt;mso-position-horizontal-relative:page">
                    <v:fill opacity="0f"/>
                    <v:textbox inset="0.11875in,0.11875in,0.100694444444444in,0.0506944444444444in">
                      <w:txbxContent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Address"/>
                            <w:rPr>
                              <w:b/>
                            </w:rPr>
                          </w:pPr>
                          <w:bookmarkStart w:id="2" w:name="Address"/>
                          <w:r>
                            <w:rPr>
                              <w:b/>
                            </w:rPr>
                            <w:t>PricewaterhouseCoopers LLP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425 1st Street SW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Suite 1200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Calgary Alberta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Canada T2P 3V7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Telephone +1 (403) 509 7500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Facsimile +1 (403) 781 1825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r>
                            <w:rPr/>
                            <w:t>Direct phone 403 509 7501</w:t>
                          </w:r>
                        </w:p>
                        <w:p>
                          <w:pPr>
                            <w:pStyle w:val="Address"/>
                            <w:rPr/>
                          </w:pPr>
                          <w:bookmarkStart w:id="3" w:name="Address"/>
                          <w:r>
                            <w:rPr/>
                            <w:t>Direct fax 403 781 1825</w:t>
                          </w:r>
                          <w:bookmarkEnd w:id="3"/>
                        </w:p>
                        <w:p>
                          <w:pPr>
                            <w:pStyle w:val="Disclaim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Address"/>
                            <w:pBdr>
                              <w:left w:val="nil"/>
                            </w:pBdr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  <w:tc>
        <w:tcPr>
          <w:tcW w:w="2104" w:type="dxa"/>
          <w:tcBorders>
            <w:bottom w:val="single" w:sz="4" w:space="0" w:color="000000"/>
          </w:tcBorders>
        </w:tcPr>
        <w:p>
          <w:pPr>
            <w:pStyle w:val="Normal"/>
            <w:snapToGrid w:val="false"/>
            <w:spacing w:lineRule="auto" w:line="240"/>
            <w:rPr>
              <w:sz w:val="4"/>
            </w:rPr>
          </w:pPr>
          <w:r>
            <w:rPr>
              <w:sz w:val="4"/>
            </w:rPr>
          </w:r>
        </w:p>
        <w:p>
          <w:pPr>
            <w:pStyle w:val="Disclaimer"/>
            <w:spacing w:lineRule="atLeast" w:line="200"/>
            <w:rPr>
              <w:sz w:val="4"/>
            </w:rPr>
          </w:pPr>
          <w:r>
            <w:rPr>
              <w:sz w:val="4"/>
            </w:rPr>
          </w:r>
        </w:p>
      </w:tc>
      <w:tc>
        <w:tcPr>
          <w:tcW w:w="2999" w:type="dxa"/>
          <w:tcBorders>
            <w:bottom w:val="single" w:sz="4" w:space="0" w:color="000000"/>
          </w:tcBorders>
        </w:tcPr>
        <w:p>
          <w:pPr>
            <w:pStyle w:val="Normal"/>
            <w:snapToGrid w:val="false"/>
            <w:rPr>
              <w:lang w:val="en-CA"/>
            </w:rPr>
          </w:pPr>
          <w:r>
            <w:rPr>
              <w:lang w:val="en-CA"/>
            </w:rPr>
            <w:object w:dxaOrig="6291" w:dyaOrig="726">
              <v:shapetype id="_x0000_tole_rId2" coordsize="21600,21600" o:spt="ole_rId2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2" type="_x0000_tole_rId2" style="position:absolute;margin-left:443.7pt;margin-top:36pt;width:116.5pt;height:50.15pt;mso-wrap-distance-left:9.05pt;mso-wrap-distance-right:9.05pt;mso-position-horizontal-relative:page;mso-position-vertical-relative:page" filled="f" o:ole="">
                <v:imagedata r:id="rId3" o:title=""/>
              </v:shape>
              <o:OLEObject Type="Embed" ProgID="" ShapeID="ole_rId2" DrawAspect="Content" ObjectID="_1362599411" r:id="rId2"/>
            </w:objec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lowerLetter"/>
      <w:lvlText w:val="(%4)"/>
      <w:lvlJc w:val="start"/>
      <w:pPr>
        <w:tabs>
          <w:tab w:val="num" w:pos="1440"/>
        </w:tabs>
        <w:ind w:start="1440" w:hanging="720"/>
      </w:pPr>
    </w:lvl>
    <w:lvl w:ilvl="4">
      <w:start w:val="1"/>
      <w:pStyle w:val="Heading5"/>
      <w:numFmt w:val="lowerRoman"/>
      <w:lvlText w:val="(%5)"/>
      <w:lvlJc w:val="start"/>
      <w:pPr>
        <w:tabs>
          <w:tab w:val="num" w:pos="2520"/>
        </w:tabs>
        <w:ind w:start="2160" w:hanging="720"/>
      </w:pPr>
    </w:lvl>
    <w:lvl w:ilvl="5">
      <w:start w:val="1"/>
      <w:pStyle w:val="Heading6"/>
      <w:isLgl/>
      <w:numFmt w:val="decimal"/>
      <w:lvlText w:val="%6"/>
      <w:lvlJc w:val="start"/>
      <w:pPr>
        <w:tabs>
          <w:tab w:val="num" w:pos="1440"/>
        </w:tabs>
        <w:ind w:start="1440" w:hanging="1440"/>
      </w:pPr>
    </w:lvl>
    <w:lvl w:ilvl="6">
      <w:start w:val="1"/>
      <w:pStyle w:val="Heading7"/>
      <w:isLgl/>
      <w:numFmt w:val="decimal"/>
      <w:lvlText w:val="%6.%7"/>
      <w:lvlJc w:val="start"/>
      <w:pPr>
        <w:tabs>
          <w:tab w:val="num" w:pos="1440"/>
        </w:tabs>
        <w:ind w:start="1440" w:hanging="1440"/>
      </w:pPr>
    </w:lvl>
    <w:lvl w:ilvl="7">
      <w:start w:val="1"/>
      <w:pStyle w:val="Heading8"/>
      <w:isLgl/>
      <w:numFmt w:val="decimal"/>
      <w:lvlText w:val="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isLgl/>
      <w:numFmt w:val="decimal"/>
      <w:lvlText w:val="%6.%7.%8.%9"/>
      <w:lvlJc w:val="start"/>
      <w:pPr>
        <w:tabs>
          <w:tab w:val="num" w:pos="1440"/>
        </w:tabs>
        <w:ind w:start="1440" w:hanging="144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1440"/>
        </w:tabs>
        <w:ind w:start="1440" w:hanging="363"/>
      </w:pPr>
      <w:rPr>
        <w:rFonts w:ascii="Wingdings" w:hAnsi="Wingdings" w:cs="Wingdings" w:hint="default"/>
        <w:sz w:val="12"/>
      </w:rPr>
    </w:lvl>
  </w:abstractNum>
  <w:abstractNum w:abstractNumId="4">
    <w:lvl w:ilvl="0">
      <w:start w:val="1"/>
      <w:numFmt w:val="bullet"/>
      <w:lvlText w:val=""/>
      <w:lvlJc w:val="start"/>
      <w:pPr>
        <w:tabs>
          <w:tab w:val="num" w:pos="2160"/>
        </w:tabs>
        <w:ind w:start="2160" w:hanging="72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2880"/>
        </w:tabs>
        <w:ind w:start="2880" w:hanging="72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  <w:sz w:val="28"/>
        <w:color w:val="auto"/>
      </w:rPr>
    </w:lvl>
  </w:abstractNum>
  <w:abstractNum w:abstractNumId="7">
    <w:lvl w:ilvl="0">
      <w:start w:val="1"/>
      <w:numFmt w:val="bullet"/>
      <w:lvlText w:val="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2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357"/>
  <w:autoHyphenation w:val="true"/>
  <w:hyphenationZone w:val="0"/>
  <w:compat>
    <w:doNotExpandShiftReturn/>
    <w:compatSetting w:name="compatibilityMode" w:uri="http://schemas.microsoft.com/office/word" w:val="11"/>
  </w:compat>
  <w:docVars>
    <w:docVar w:name="GTDTProtect" w:val="-1"/>
    <w:docVar w:name="Versi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9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keepLines/>
      <w:pageBreakBefore/>
      <w:numPr>
        <w:ilvl w:val="0"/>
        <w:numId w:val="1"/>
      </w:numPr>
      <w:spacing w:lineRule="atLeast" w:line="410" w:before="0" w:after="242"/>
      <w:outlineLvl w:val="0"/>
    </w:pPr>
    <w:rPr>
      <w:b/>
      <w:kern w:val="2"/>
      <w:sz w:val="36"/>
      <w:lang w:val="en-GB"/>
    </w:rPr>
  </w:style>
  <w:style w:type="paragraph" w:styleId="Heading2">
    <w:name w:val="heading 2"/>
    <w:basedOn w:val="Normal"/>
    <w:next w:val="Heading3"/>
    <w:qFormat/>
    <w:pPr>
      <w:numPr>
        <w:ilvl w:val="1"/>
        <w:numId w:val="1"/>
      </w:numPr>
      <w:outlineLvl w:val="1"/>
    </w:pPr>
    <w:rPr>
      <w:lang w:val="en-GB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outlineLvl w:val="2"/>
    </w:pPr>
    <w:rPr>
      <w:lang w:val="en-GB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outlineLvl w:val="3"/>
    </w:pPr>
    <w:rPr>
      <w:lang w:val="en-GB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357"/>
        <w:tab w:val="left" w:pos="2160" w:leader="none"/>
      </w:tabs>
      <w:outlineLvl w:val="4"/>
    </w:pPr>
    <w:rPr>
      <w:lang w:val="en-GB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outlineLvl w:val="5"/>
    </w:pPr>
    <w:rPr>
      <w:lang w:val="en-GB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outlineLvl w:val="6"/>
    </w:pPr>
    <w:rPr>
      <w:lang w:val="en-GB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outlineLvl w:val="7"/>
    </w:pPr>
    <w:rPr>
      <w:lang w:val="en-GB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outlineLvl w:val="8"/>
    </w:pPr>
    <w:rPr>
      <w:lang w:val="en-GB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sz w:val="12"/>
    </w:rPr>
  </w:style>
  <w:style w:type="character" w:styleId="WW8Num16z0">
    <w:name w:val="WW8Num16z0"/>
    <w:qFormat/>
    <w:rPr>
      <w:rFonts w:ascii="Wingdings" w:hAnsi="Wingdings" w:cs="Wingdings"/>
      <w:sz w:val="12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b/>
      <w:i w:val="false"/>
    </w:rPr>
  </w:style>
  <w:style w:type="character" w:styleId="WW8Num20z0">
    <w:name w:val="WW8Num20z0"/>
    <w:qFormat/>
    <w:rPr>
      <w:rFonts w:ascii="Symbol" w:hAnsi="Symbol" w:cs="Symbol"/>
      <w:color w:val="auto"/>
      <w:sz w:val="28"/>
    </w:rPr>
  </w:style>
  <w:style w:type="character" w:styleId="WW8Num21z0">
    <w:name w:val="WW8Num21z0"/>
    <w:qFormat/>
    <w:rPr>
      <w:rFonts w:ascii="Wingdings" w:hAnsi="Wingdings" w:cs="Wingdings"/>
      <w:sz w:val="1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  <w:sz w:val="12"/>
    </w:rPr>
  </w:style>
  <w:style w:type="character" w:styleId="WW8Num25z0">
    <w:name w:val="WW8Num25z0"/>
    <w:qFormat/>
    <w:rPr>
      <w:rFonts w:ascii="Symbol" w:hAnsi="Symbol" w:cs="Symbol"/>
      <w:sz w:val="18"/>
    </w:rPr>
  </w:style>
  <w:style w:type="character" w:styleId="WW8Num27z0">
    <w:name w:val="WW8Num27z0"/>
    <w:qFormat/>
    <w:rPr>
      <w:rFonts w:ascii="Times New Roman" w:hAnsi="Times New Roman" w:cs="Times New Roman"/>
    </w:rPr>
  </w:style>
  <w:style w:type="character" w:styleId="WW8Num28z0">
    <w:name w:val="WW8Num28z0"/>
    <w:qFormat/>
    <w:rPr>
      <w:rFonts w:ascii="Symbol" w:hAnsi="Symbol" w:cs="Symbol"/>
      <w:sz w:val="18"/>
    </w:rPr>
  </w:style>
  <w:style w:type="character" w:styleId="DefaultParagraphFont">
    <w:name w:val="Default Paragraph Font"/>
    <w:qFormat/>
    <w:rPr>
      <w:lang w:val="en-GB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357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lang w:val="en-GB"/>
    </w:rPr>
  </w:style>
  <w:style w:type="paragraph" w:styleId="Subject">
    <w:name w:val="Subject"/>
    <w:basedOn w:val="Normal"/>
    <w:qFormat/>
    <w:pPr>
      <w:keepNext w:val="true"/>
      <w:keepLines/>
    </w:pPr>
    <w:rPr>
      <w:b/>
    </w:rPr>
  </w:style>
  <w:style w:type="paragraph" w:styleId="Disclaimer">
    <w:name w:val="Disclaimer"/>
    <w:basedOn w:val="Normal"/>
    <w:qFormat/>
    <w:pPr>
      <w:spacing w:lineRule="exact" w:line="200"/>
    </w:pPr>
    <w:rPr>
      <w:sz w:val="16"/>
    </w:rPr>
  </w:style>
  <w:style w:type="paragraph" w:styleId="Bullet4">
    <w:name w:val="Bullet 4"/>
    <w:basedOn w:val="Normal"/>
    <w:qFormat/>
    <w:pPr>
      <w:numPr>
        <w:ilvl w:val="0"/>
        <w:numId w:val="5"/>
      </w:numPr>
    </w:pPr>
    <w:rPr>
      <w:lang w:val="en-GB"/>
    </w:rPr>
  </w:style>
  <w:style w:type="paragraph" w:styleId="Indent4">
    <w:name w:val="Indent 4"/>
    <w:basedOn w:val="Normal"/>
    <w:qFormat/>
    <w:pPr>
      <w:ind w:hanging="0" w:start="2880" w:end="0"/>
    </w:pPr>
    <w:rPr>
      <w:lang w:val="en-GB"/>
    </w:rPr>
  </w:style>
  <w:style w:type="paragraph" w:styleId="TableBullet4">
    <w:name w:val="Table Bullet 4"/>
    <w:basedOn w:val="Normal"/>
    <w:qFormat/>
    <w:pPr>
      <w:numPr>
        <w:ilvl w:val="0"/>
        <w:numId w:val="3"/>
      </w:numPr>
    </w:pPr>
    <w:rPr/>
  </w:style>
  <w:style w:type="paragraph" w:styleId="Bullet1">
    <w:name w:val="Bullet 1"/>
    <w:basedOn w:val="Normal"/>
    <w:qFormat/>
    <w:pPr>
      <w:numPr>
        <w:ilvl w:val="0"/>
        <w:numId w:val="6"/>
      </w:numPr>
    </w:pPr>
    <w:rPr>
      <w:lang w:val="en-GB"/>
    </w:rPr>
  </w:style>
  <w:style w:type="paragraph" w:styleId="Bullet2">
    <w:name w:val="Bullet 2"/>
    <w:basedOn w:val="Normal"/>
    <w:qFormat/>
    <w:pPr>
      <w:numPr>
        <w:ilvl w:val="0"/>
        <w:numId w:val="2"/>
      </w:numPr>
    </w:pPr>
    <w:rPr>
      <w:lang w:val="en-GB"/>
    </w:rPr>
  </w:style>
  <w:style w:type="paragraph" w:styleId="Bullet3">
    <w:name w:val="Bullet 3"/>
    <w:basedOn w:val="Normal"/>
    <w:qFormat/>
    <w:pPr>
      <w:numPr>
        <w:ilvl w:val="0"/>
        <w:numId w:val="4"/>
      </w:numPr>
    </w:pPr>
    <w:rPr>
      <w:lang w:val="en-GB"/>
    </w:rPr>
  </w:style>
  <w:style w:type="paragraph" w:styleId="Indent1">
    <w:name w:val="Indent 1"/>
    <w:basedOn w:val="Normal"/>
    <w:qFormat/>
    <w:pPr>
      <w:ind w:hanging="0" w:start="720" w:end="0"/>
    </w:pPr>
    <w:rPr>
      <w:lang w:val="en-GB"/>
    </w:rPr>
  </w:style>
  <w:style w:type="paragraph" w:styleId="Indent2">
    <w:name w:val="Indent 2"/>
    <w:basedOn w:val="Normal"/>
    <w:qFormat/>
    <w:pPr>
      <w:ind w:hanging="0" w:start="1440" w:end="0"/>
    </w:pPr>
    <w:rPr>
      <w:lang w:val="en-GB"/>
    </w:rPr>
  </w:style>
  <w:style w:type="paragraph" w:styleId="Indent3">
    <w:name w:val="Indent 3"/>
    <w:basedOn w:val="Normal"/>
    <w:qFormat/>
    <w:pPr>
      <w:ind w:hanging="0" w:start="2160" w:end="0"/>
    </w:pPr>
    <w:rPr>
      <w:lang w:val="en-GB"/>
    </w:rPr>
  </w:style>
  <w:style w:type="paragraph" w:styleId="TableIndent4">
    <w:name w:val="Table Indent 4"/>
    <w:basedOn w:val="Normal"/>
    <w:qFormat/>
    <w:pPr>
      <w:ind w:hanging="0" w:start="1440" w:end="0"/>
    </w:pPr>
    <w:rPr/>
  </w:style>
  <w:style w:type="paragraph" w:styleId="MajorHead">
    <w:name w:val="Major Head"/>
    <w:basedOn w:val="Normal"/>
    <w:next w:val="Normal"/>
    <w:qFormat/>
    <w:pPr>
      <w:keepNext w:val="true"/>
      <w:keepLines/>
      <w:spacing w:lineRule="atLeast" w:line="330" w:before="240" w:after="120"/>
    </w:pPr>
    <w:rPr>
      <w:b/>
      <w:sz w:val="28"/>
      <w:lang w:val="en-GB"/>
    </w:rPr>
  </w:style>
  <w:style w:type="paragraph" w:styleId="MinorHead">
    <w:name w:val="Minor Head"/>
    <w:basedOn w:val="Normal"/>
    <w:next w:val="Normal"/>
    <w:qFormat/>
    <w:pPr>
      <w:keepNext w:val="true"/>
      <w:keepLines/>
      <w:spacing w:before="120" w:after="0"/>
    </w:pPr>
    <w:rPr>
      <w:b/>
      <w:lang w:val="en-GB"/>
    </w:rPr>
  </w:style>
  <w:style w:type="paragraph" w:styleId="TableBullet3">
    <w:name w:val="Table Bullet 3"/>
    <w:basedOn w:val="Bullet3"/>
    <w:qFormat/>
    <w:pPr>
      <w:numPr>
        <w:ilvl w:val="0"/>
        <w:numId w:val="7"/>
      </w:numPr>
    </w:pPr>
    <w:rPr/>
  </w:style>
  <w:style w:type="paragraph" w:styleId="TableBullet1">
    <w:name w:val="Table Bullet 1"/>
    <w:basedOn w:val="Bullet1"/>
    <w:qFormat/>
    <w:pPr>
      <w:numPr>
        <w:ilvl w:val="0"/>
        <w:numId w:val="9"/>
      </w:numPr>
    </w:pPr>
    <w:rPr/>
  </w:style>
  <w:style w:type="paragraph" w:styleId="TableBullet2">
    <w:name w:val="Table Bullet 2"/>
    <w:basedOn w:val="Bullet2"/>
    <w:qFormat/>
    <w:pPr>
      <w:numPr>
        <w:ilvl w:val="0"/>
        <w:numId w:val="8"/>
      </w:numPr>
      <w:tabs>
        <w:tab w:val="clear" w:pos="357"/>
      </w:tabs>
    </w:pPr>
    <w:rPr/>
  </w:style>
  <w:style w:type="paragraph" w:styleId="TableIndent1">
    <w:name w:val="Table Indent 1"/>
    <w:basedOn w:val="Normal"/>
    <w:qFormat/>
    <w:pPr>
      <w:ind w:hanging="0" w:start="357" w:end="0"/>
    </w:pPr>
    <w:rPr/>
  </w:style>
  <w:style w:type="paragraph" w:styleId="TableIndent2">
    <w:name w:val="Table Indent 2"/>
    <w:basedOn w:val="Indent2"/>
    <w:qFormat/>
    <w:pPr>
      <w:ind w:hanging="0" w:start="720" w:end="0"/>
    </w:pPr>
    <w:rPr/>
  </w:style>
  <w:style w:type="paragraph" w:styleId="TableIndent3">
    <w:name w:val="Table Indent 3"/>
    <w:basedOn w:val="Indent3"/>
    <w:qFormat/>
    <w:pPr>
      <w:ind w:hanging="0" w:start="1077" w:end="0"/>
    </w:pPr>
    <w:rPr/>
  </w:style>
  <w:style w:type="paragraph" w:styleId="Address">
    <w:name w:val="Address"/>
    <w:basedOn w:val="Normal"/>
    <w:qFormat/>
    <w:pPr>
      <w:pBdr>
        <w:left w:val="single" w:sz="4" w:space="6" w:color="000000"/>
      </w:pBdr>
      <w:spacing w:lineRule="exact" w:line="200"/>
    </w:pPr>
    <w:rPr>
      <w:sz w:val="16"/>
      <w:lang w:val="en-GB"/>
    </w:rPr>
  </w:style>
  <w:style w:type="paragraph" w:styleId="FormLabel">
    <w:name w:val="Form Label"/>
    <w:basedOn w:val="Normal"/>
    <w:qFormat/>
    <w:pPr>
      <w:spacing w:lineRule="exact" w:line="280"/>
    </w:pPr>
    <w:rPr>
      <w:sz w:val="18"/>
      <w:lang w:val="en-GB"/>
    </w:rPr>
  </w:style>
  <w:style w:type="paragraph" w:styleId="Line">
    <w:name w:val="Line"/>
    <w:basedOn w:val="Normal"/>
    <w:qFormat/>
    <w:pPr>
      <w:pBdr>
        <w:top w:val="single" w:sz="4" w:space="1" w:color="000000"/>
      </w:pBdr>
      <w:spacing w:lineRule="auto" w:line="240" w:before="120" w:after="60"/>
      <w:ind w:hanging="0" w:start="0" w:end="-1701"/>
    </w:pPr>
    <w:rPr>
      <w:sz w:val="2"/>
      <w:lang w:val="en-GB"/>
    </w:rPr>
  </w:style>
  <w:style w:type="paragraph" w:styleId="Footer">
    <w:name w:val="footer"/>
    <w:basedOn w:val="Normal"/>
    <w:pPr>
      <w:spacing w:lineRule="auto" w:line="240"/>
    </w:pPr>
    <w:rPr>
      <w:sz w:val="12"/>
      <w:lang w:val="en-GB"/>
    </w:rPr>
  </w:style>
  <w:style w:type="paragraph" w:styleId="FootnoteText">
    <w:name w:val="footnote text"/>
    <w:basedOn w:val="Normal"/>
    <w:pPr>
      <w:spacing w:lineRule="exact" w:line="200"/>
    </w:pPr>
    <w:rPr>
      <w:sz w:val="20"/>
      <w:lang w:val="en-GB"/>
    </w:rPr>
  </w:style>
  <w:style w:type="paragraph" w:styleId="MacroText">
    <w:name w:val="Macro Text"/>
    <w:qFormat/>
    <w:pPr>
      <w:widowControl/>
      <w:tabs>
        <w:tab w:val="clear" w:pos="357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90"/>
    </w:pPr>
    <w:rPr>
      <w:rFonts w:ascii="Courier New" w:hAnsi="Courier New" w:eastAsia="Times New Roman" w:cs="Courier New"/>
      <w:color w:val="auto"/>
      <w:sz w:val="20"/>
      <w:szCs w:val="20"/>
      <w:lang w:val="en-GB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PWC_Letter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2000-06-09T17:23:00Z</dcterms:created>
  <dc:creator>PWC User</dc:creator>
  <dc:description/>
  <dc:language>en-CA</dc:language>
  <cp:lastModifiedBy>CHARACL</cp:lastModifiedBy>
  <cp:lastPrinted>2000-06-08T14:28:00Z</cp:lastPrinted>
  <dcterms:modified xsi:type="dcterms:W3CDTF">2000-06-09T17:33:00Z</dcterms:modified>
  <cp:revision>4</cp:revision>
  <dc:subject>  </dc:subject>
  <dc:title/>
</cp:coreProperties>
</file>