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rFonts w:ascii="Arial" w:hAnsi="Arial" w:cs="Arial"/>
          <w:i/>
          <w:i/>
          <w:sz w:val="22"/>
        </w:rPr>
      </w:pPr>
      <w:r>
        <w:rPr>
          <w:i/>
        </w:rPr>
        <w:t xml:space="preserve">Note: This letter was drafted by Enron Canada and sent to Dr. West.  It was not on Enron letterhead as it was intended to be signed in counterpart by other marketers.  It was circulated to a number of companies that had expressed interest in participating in the PPA auction process and we were advised by Aquila, Duke, TransCanada Energy, Enmax, PG&amp;E, and Encore Energy that they each executed a copy of the letter in counterpart form and sent it to Dr. West within a day or two of Enron Canada doing so.   </w:t>
      </w:r>
    </w:p>
    <w:p>
      <w:pPr>
        <w:pStyle w:val="Normal"/>
        <w:rPr>
          <w:rFonts w:ascii="Arial" w:hAnsi="Arial" w:cs="Arial"/>
          <w:i/>
          <w:i/>
          <w:sz w:val="22"/>
        </w:rPr>
      </w:pPr>
      <w:r>
        <w:rPr>
          <w:rFonts w:cs="Arial" w:ascii="Arial" w:hAnsi="Arial"/>
          <w:i/>
          <w:sz w:val="22"/>
        </w:rPr>
      </w:r>
    </w:p>
    <w:p>
      <w:pPr>
        <w:pStyle w:val="Normal"/>
        <w:jc w:val="end"/>
        <w:rPr>
          <w:rFonts w:ascii="Arial" w:hAnsi="Arial" w:cs="Arial"/>
          <w:sz w:val="22"/>
        </w:rPr>
      </w:pPr>
      <w:r>
        <w:rPr>
          <w:rFonts w:cs="Arial" w:ascii="Arial" w:hAnsi="Arial"/>
          <w:sz w:val="22"/>
        </w:rPr>
        <w:t>April 28, 2000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Honourable Dr. Stephen West</w:t>
      </w:r>
    </w:p>
    <w:p>
      <w:pPr>
        <w:pStyle w:val="Normal"/>
        <w:rPr>
          <w:rFonts w:ascii="Arial" w:hAnsi="Arial" w:cs="Arial"/>
          <w:sz w:val="22"/>
        </w:rPr>
      </w:pPr>
      <w:r>
        <w:rPr>
          <w:rFonts w:cs="Arial" w:ascii="Arial" w:hAnsi="Arial"/>
          <w:sz w:val="22"/>
        </w:rPr>
        <w:t>Minister of Resource Development</w:t>
      </w:r>
    </w:p>
    <w:p>
      <w:pPr>
        <w:pStyle w:val="Normal"/>
        <w:rPr>
          <w:rFonts w:ascii="Arial" w:hAnsi="Arial" w:cs="Arial"/>
          <w:sz w:val="22"/>
        </w:rPr>
      </w:pPr>
      <w:r>
        <w:rPr>
          <w:rFonts w:cs="Arial" w:ascii="Arial" w:hAnsi="Arial"/>
          <w:sz w:val="22"/>
        </w:rPr>
        <w:t>408 Legislative Building</w:t>
      </w:r>
    </w:p>
    <w:p>
      <w:pPr>
        <w:pStyle w:val="Normal"/>
        <w:rPr/>
      </w:pPr>
      <w:r>
        <w:rPr>
          <w:rFonts w:cs="Arial" w:ascii="Arial" w:hAnsi="Arial"/>
          <w:sz w:val="22"/>
        </w:rPr>
        <w:t>10800 - 97</w:t>
      </w:r>
      <w:r>
        <w:rPr>
          <w:rFonts w:cs="Arial" w:ascii="Arial" w:hAnsi="Arial"/>
          <w:sz w:val="22"/>
          <w:vertAlign w:val="superscript"/>
        </w:rPr>
        <w:t>th</w:t>
      </w:r>
      <w:r>
        <w:rPr>
          <w:rFonts w:cs="Arial" w:ascii="Arial" w:hAnsi="Arial"/>
          <w:sz w:val="22"/>
        </w:rPr>
        <w:t xml:space="preserve"> Avenue</w:t>
      </w:r>
    </w:p>
    <w:p>
      <w:pPr>
        <w:pStyle w:val="Normal"/>
        <w:rPr>
          <w:rFonts w:ascii="Arial" w:hAnsi="Arial" w:cs="Arial"/>
          <w:sz w:val="22"/>
        </w:rPr>
      </w:pPr>
      <w:r>
        <w:rPr>
          <w:rFonts w:cs="Arial" w:ascii="Arial" w:hAnsi="Arial"/>
          <w:sz w:val="22"/>
        </w:rPr>
        <w:t>Edmonton, Alberta</w:t>
      </w:r>
    </w:p>
    <w:p>
      <w:pPr>
        <w:pStyle w:val="Normal"/>
        <w:rPr>
          <w:rFonts w:ascii="Arial" w:hAnsi="Arial" w:cs="Arial"/>
          <w:b/>
          <w:sz w:val="22"/>
        </w:rPr>
      </w:pPr>
      <w:r>
        <w:rPr>
          <w:rFonts w:cs="Arial" w:ascii="Arial" w:hAnsi="Arial"/>
          <w:sz w:val="22"/>
        </w:rPr>
        <w:t>T5K 2B6</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Dear Minister:</w:t>
      </w:r>
    </w:p>
    <w:p>
      <w:pPr>
        <w:pStyle w:val="Normal"/>
        <w:spacing w:lineRule="atLeast" w:line="240"/>
        <w:jc w:val="both"/>
        <w:rPr>
          <w:rFonts w:ascii="Arial" w:hAnsi="Arial" w:cs="Arial"/>
          <w:sz w:val="22"/>
        </w:rPr>
      </w:pPr>
      <w:r>
        <w:rPr>
          <w:rFonts w:cs="Arial" w:ascii="Arial" w:hAnsi="Arial"/>
          <w:sz w:val="22"/>
        </w:rPr>
      </w:r>
    </w:p>
    <w:p>
      <w:pPr>
        <w:pStyle w:val="Heading2"/>
        <w:ind w:hanging="0" w:start="0"/>
        <w:rPr/>
      </w:pPr>
      <w:r>
        <w:rPr/>
        <w:t>Re:</w:t>
        <w:tab/>
        <w:t>Power Purchase Arrangement Auction</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The signatories in counterpart to this letter are prospective PPA Bidders who share with the Government of Alberta a desire to see that the Power Purchase Arrangement (“PPA”) auction proceeds are optimized in accordance with one of the four stated objectives of the auction process.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We jointly advocate six changes to the regulations that support the PPA model.  Agreement on these specific six changes represents a significant compromise by many of the organizations that participated in the discussions that led to this letter.  Many wished to advocate for additional changes while others were of the view that the changes proposed did not go far enough.  In the end, the six changes proposed in this letter are a product of compromise given a practical assessment of the types of changes that could reasonably be implemented at this stage in the process.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There is consensus among the sponsors of this letter that the six changes proposed will serve to reduce the level of uncertainty associated with either the PPA auction process or the resulting PPA entitlements and obligations.  In the absence of these changes it is our collective view that the winning bids in the auction for some, and perhaps all, of the PPAs will be lower than could have otherwise been realized. </w:t>
      </w:r>
    </w:p>
    <w:p>
      <w:pPr>
        <w:pStyle w:val="Normal"/>
        <w:spacing w:lineRule="atLeast" w:line="240"/>
        <w:jc w:val="both"/>
        <w:rPr>
          <w:rFonts w:ascii="Arial" w:hAnsi="Arial" w:cs="Arial"/>
          <w:sz w:val="22"/>
        </w:rPr>
      </w:pPr>
      <w:r>
        <w:rPr>
          <w:rFonts w:cs="Arial" w:ascii="Arial" w:hAnsi="Arial"/>
          <w:sz w:val="22"/>
        </w:rPr>
      </w:r>
    </w:p>
    <w:p>
      <w:pPr>
        <w:pStyle w:val="Normal"/>
        <w:numPr>
          <w:ilvl w:val="0"/>
          <w:numId w:val="7"/>
        </w:numPr>
        <w:spacing w:lineRule="atLeast" w:line="240"/>
        <w:jc w:val="both"/>
        <w:rPr>
          <w:rFonts w:ascii="Arial" w:hAnsi="Arial" w:cs="Arial"/>
          <w:sz w:val="22"/>
          <w:u w:val="single"/>
        </w:rPr>
      </w:pPr>
      <w:r>
        <w:rPr>
          <w:rFonts w:cs="Arial" w:ascii="Arial" w:hAnsi="Arial"/>
          <w:sz w:val="22"/>
          <w:u w:val="single"/>
        </w:rPr>
        <w:t>The Minimum Opening Bid for Each PPA</w:t>
      </w:r>
    </w:p>
    <w:p>
      <w:pPr>
        <w:pStyle w:val="Normal"/>
        <w:spacing w:lineRule="atLeast" w:line="240"/>
        <w:jc w:val="both"/>
        <w:rPr>
          <w:rFonts w:ascii="Arial" w:hAnsi="Arial" w:cs="Arial"/>
          <w:sz w:val="22"/>
          <w:u w:val="single"/>
        </w:rPr>
      </w:pPr>
      <w:r>
        <w:rPr>
          <w:rFonts w:cs="Arial" w:ascii="Arial" w:hAnsi="Arial"/>
          <w:sz w:val="22"/>
          <w:u w:val="single"/>
        </w:rPr>
      </w:r>
    </w:p>
    <w:p>
      <w:pPr>
        <w:pStyle w:val="Normal"/>
        <w:spacing w:lineRule="atLeast" w:line="240"/>
        <w:jc w:val="both"/>
        <w:rPr>
          <w:rFonts w:ascii="Arial" w:hAnsi="Arial" w:cs="Arial"/>
          <w:sz w:val="22"/>
        </w:rPr>
      </w:pPr>
      <w:r>
        <w:rPr>
          <w:rFonts w:cs="Arial" w:ascii="Arial" w:hAnsi="Arial"/>
          <w:sz w:val="22"/>
        </w:rPr>
        <w:t xml:space="preserve">We are encouraged by the Department of Resource Development’s announcement at the Bidder Technical Session on Wednesday April 12, 2000 that either all bids that exceed the minimum opening bid will be accepted or all bids will be rejected and the contingency plan will be used.  This will enable PPA bidders to monitor, during the course of the auction, the number of PPAs that have attracted bids that exceed the minimum opening bid level and constantly assess the number of PPAs that could potentially revert to the contingency plan.   </w:t>
      </w:r>
    </w:p>
    <w:p>
      <w:pPr>
        <w:pStyle w:val="Normal"/>
        <w:spacing w:lineRule="atLeast" w:line="240"/>
        <w:jc w:val="both"/>
        <w:rPr>
          <w:rFonts w:ascii="Arial" w:hAnsi="Arial" w:cs="Arial"/>
          <w:sz w:val="22"/>
        </w:rPr>
      </w:pPr>
      <w:r>
        <w:rPr>
          <w:rFonts w:cs="Arial" w:ascii="Arial" w:hAnsi="Arial"/>
          <w:sz w:val="22"/>
        </w:rPr>
      </w:r>
    </w:p>
    <w:p>
      <w:pPr>
        <w:pStyle w:val="BodyText"/>
        <w:rPr/>
      </w:pPr>
      <w:r>
        <w:rPr/>
        <w:t xml:space="preserve">We appreciate that the “all or none” commitment does not eliminate the prospect of some or all of the PPAs not being sold at the auction.  Bidders in the auction will face the risk that the PPAs, or derivatives thereof, not sold in the auction will be sold under terms of a potentially more favorable contingency plan.  To the extent it appears that a greater percentage of the PPAs will not be sold in the auction, this undermines the PPA auction as the risks inherent in being a successful bidder in the PPA auction increase because of the uncertainty associated with: i) who will hold the unsold PPAs in the short and long term, ii) what their bid strategy will be, and iii) whether a competitor will acquire an unsold PPA on terms more favorable than the PPAs sold in the auction.  We understand the Balancing Pool will hold the unsold PPAs for the short term and will bid them into the Power Pool at not less than variable cost but it will not be focused on profit maximization.  We also understand that the Balancing Pool’s bidding strategy will be disclosed but this disclosure will not occur in advance of the PPA auction.  It is clear that the greater the level of unsold PPAs the greater the risk to those who are the PPA Buyers. This fact emphasizes the need for realistic minimum opening bids for each PPA to ensure certain PPAs are not effectively guaranteed to revert to the contingency plan because there is no reasonable prospect of their achieving their minimum opening bid in the auction.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The minimum opening bids announced on April 12, 2000 for Genesee, Rossdale, and Sheerness do not reflect reasonable starting points.  In addition, for the peaking facilities, it is our understanding that the minimum opening bid would be set at no lower than the negative of the book value of these facilities.  Some minimum opening bids announced for these units do not reflect the appropriate level of discounting that should be applied to the stream of negative payments that would coincide with the appropriate lump sum negative payment.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We acknowledge that the auctioneer has reserved the right to lower the minimum opening bid for a baseload PPA if it does not receive a bid in the initial rounds of the auction.  We are concerned that this adds uncertainty to the auction process, as a bidder on one PPA will not know whether a PPA that appears to be unrealistically priced at the commencement of the auction will subsequently enter the auction as a result of its minimum opening bid being lowered.  Our preference, therefore, is for realistic minimum opening bids to be set in advance of the auction and that no reductions to the minimum opening bids be allowed during the auction.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Attached as Appendix “A” to this letter is a table that provides the appropriate methodology to determine the net present value of the stream of negative payments that equate to a lump sum negative payment at the date of the auction.   This table is intended to address the errors which were made in the calculation of the negative minimum opening bids that were provided at the Bidder Technical Session on April 12, 2000.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We encourage you to entrench the “all or nothing” commitment into the final version of the Power Purchase Arrangement Auction Regulation.  We also encourage you and your officials to receive input from interested stakeholders on the issue of the appropriate level of the minimum opening bid for each PPA and to announce your final determination on each minimum opening bid by no later than May 15, 2000. </w:t>
      </w:r>
    </w:p>
    <w:p>
      <w:pPr>
        <w:pStyle w:val="Normal"/>
        <w:spacing w:lineRule="atLeast" w:line="240"/>
        <w:jc w:val="both"/>
        <w:rPr>
          <w:rFonts w:ascii="Arial" w:hAnsi="Arial" w:cs="Arial"/>
          <w:sz w:val="22"/>
        </w:rPr>
      </w:pPr>
      <w:r>
        <w:rPr>
          <w:rFonts w:cs="Arial" w:ascii="Arial" w:hAnsi="Arial"/>
          <w:sz w:val="22"/>
        </w:rPr>
      </w:r>
    </w:p>
    <w:p>
      <w:pPr>
        <w:pStyle w:val="Normal"/>
        <w:numPr>
          <w:ilvl w:val="0"/>
          <w:numId w:val="7"/>
        </w:numPr>
        <w:spacing w:lineRule="atLeast" w:line="240"/>
        <w:jc w:val="both"/>
        <w:rPr>
          <w:rFonts w:ascii="Arial" w:hAnsi="Arial" w:cs="Arial"/>
          <w:sz w:val="22"/>
          <w:u w:val="single"/>
        </w:rPr>
      </w:pPr>
      <w:r>
        <w:rPr>
          <w:rFonts w:cs="Arial" w:ascii="Arial" w:hAnsi="Arial"/>
          <w:sz w:val="22"/>
          <w:u w:val="single"/>
        </w:rPr>
        <w:t>PPA Buyer Counterparty Credit Risk</w:t>
      </w:r>
    </w:p>
    <w:p>
      <w:pPr>
        <w:pStyle w:val="Normal"/>
        <w:spacing w:lineRule="atLeast" w:line="240"/>
        <w:jc w:val="both"/>
        <w:rPr>
          <w:rFonts w:ascii="Arial" w:hAnsi="Arial" w:cs="Arial"/>
          <w:sz w:val="22"/>
          <w:u w:val="single"/>
        </w:rPr>
      </w:pPr>
      <w:r>
        <w:rPr>
          <w:rFonts w:cs="Arial" w:ascii="Arial" w:hAnsi="Arial"/>
          <w:sz w:val="22"/>
          <w:u w:val="single"/>
        </w:rPr>
      </w:r>
    </w:p>
    <w:p>
      <w:pPr>
        <w:pStyle w:val="BodyText"/>
        <w:rPr/>
      </w:pPr>
      <w:r>
        <w:rPr/>
        <w:t>Respectfully, the IAT made an error in its determination of the PPAs by failing to address the prospect of the PPA Buyer being unable to recover amounts owing from the PPA Owner in the event the PPA Owner fails to honour its obligations under the PPA to the PPA Buyer.  The IAT explained the rationale behind its determination on this issue in its Final Report where it stated: “the Owner has substantial assets to which the Buyer could, through the commercial courts, have recourse”.  This is not a legal or credit certainty for at least three reasons:</w:t>
      </w:r>
    </w:p>
    <w:p>
      <w:pPr>
        <w:pStyle w:val="BodyText"/>
        <w:rPr/>
      </w:pPr>
      <w:r>
        <w:rPr/>
      </w:r>
    </w:p>
    <w:p>
      <w:pPr>
        <w:pStyle w:val="BodyText"/>
        <w:numPr>
          <w:ilvl w:val="0"/>
          <w:numId w:val="6"/>
        </w:numPr>
        <w:rPr/>
      </w:pPr>
      <w:r>
        <w:rPr/>
        <w:t>the PPA Owner or its parent entity may by design be a limited recourse entity;</w:t>
      </w:r>
    </w:p>
    <w:p>
      <w:pPr>
        <w:pStyle w:val="BodyText"/>
        <w:numPr>
          <w:ilvl w:val="0"/>
          <w:numId w:val="6"/>
        </w:numPr>
        <w:rPr/>
      </w:pPr>
      <w:r>
        <w:rPr/>
        <w:t>the PPA Owner may not possess realizable assets within or outside of Alberta that are sufficient to satisfy the PPA Buyer’s financial entitlement under the PPA; or</w:t>
      </w:r>
    </w:p>
    <w:p>
      <w:pPr>
        <w:pStyle w:val="BodyText"/>
        <w:numPr>
          <w:ilvl w:val="0"/>
          <w:numId w:val="6"/>
        </w:numPr>
        <w:rPr/>
      </w:pPr>
      <w:r>
        <w:rPr/>
        <w:t xml:space="preserve">the PPA Owner may become insolvent, in which case the PPA Buyer’s financial entitlement would be subordinate to claims of other creditors of the PPA Owner.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The existence of this risk will result in discounting by PPA Bidders who will endeavor to price this risk at some level relative to their assessment of the prospect of a PPA Owner default.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The more economically efficient way to manage this potential cost is for the consumers of electricity in Alberta, through the Balancing Pool, to assume the actual cost of this risk if and when it materializes.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We encourage you to amend the Balancing Pool Regulation in a manner that would have the Balancing Pool indemnify and save harmless any PPA Buyer for any unsatisfied obligations of the PPA Owner.  This would align the Balancing Pool’s backstop obligations to PPA Buyers with the backstop obligations that it presently has to the PPA Owners.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The foregoing proposal assumes that the Balancing Pool Administrator has, and will exercise, the requisite charging authority under the Balancing Pool Regulation to satisfy this obligation of the Balancing Pool.</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r>
    </w:p>
    <w:p>
      <w:pPr>
        <w:pStyle w:val="Normal"/>
        <w:numPr>
          <w:ilvl w:val="0"/>
          <w:numId w:val="7"/>
        </w:numPr>
        <w:spacing w:lineRule="atLeast" w:line="240"/>
        <w:jc w:val="both"/>
        <w:rPr>
          <w:rFonts w:ascii="Arial" w:hAnsi="Arial" w:cs="Arial"/>
          <w:sz w:val="22"/>
          <w:u w:val="single"/>
        </w:rPr>
      </w:pPr>
      <w:r>
        <w:rPr>
          <w:rFonts w:cs="Arial" w:ascii="Arial" w:hAnsi="Arial"/>
          <w:sz w:val="22"/>
          <w:u w:val="single"/>
        </w:rPr>
        <w:t>Force Majeure Risk</w:t>
      </w:r>
    </w:p>
    <w:p>
      <w:pPr>
        <w:pStyle w:val="Normal"/>
        <w:spacing w:lineRule="atLeast" w:line="240"/>
        <w:jc w:val="both"/>
        <w:rPr>
          <w:rFonts w:ascii="Arial" w:hAnsi="Arial" w:cs="Arial"/>
          <w:sz w:val="22"/>
          <w:u w:val="single"/>
        </w:rPr>
      </w:pPr>
      <w:r>
        <w:rPr>
          <w:rFonts w:cs="Arial" w:ascii="Arial" w:hAnsi="Arial"/>
          <w:sz w:val="22"/>
          <w:u w:val="single"/>
        </w:rPr>
      </w:r>
    </w:p>
    <w:p>
      <w:pPr>
        <w:pStyle w:val="BodyText"/>
        <w:rPr/>
      </w:pPr>
      <w:r>
        <w:rPr/>
        <w:t xml:space="preserve">There will be a financial cost to the PPA Buyer each time a force majeure event occurs.   The force majeure language in the PPA is extremely broad and must be considered in the context of the PPA Owner’s obligations, or lack thereof, under the PPA.   The PPA: </w:t>
      </w:r>
    </w:p>
    <w:p>
      <w:pPr>
        <w:pStyle w:val="BodyText"/>
        <w:numPr>
          <w:ilvl w:val="0"/>
          <w:numId w:val="5"/>
        </w:numPr>
        <w:rPr/>
      </w:pPr>
      <w:r>
        <w:rPr/>
        <w:t>is a non-firm physical arrangement under which there is no specific obligation on the PPA Owner to deliver energy or system support services;</w:t>
      </w:r>
    </w:p>
    <w:p>
      <w:pPr>
        <w:pStyle w:val="BodyText"/>
        <w:numPr>
          <w:ilvl w:val="0"/>
          <w:numId w:val="5"/>
        </w:numPr>
        <w:rPr/>
      </w:pPr>
      <w:r>
        <w:rPr/>
        <w:t>affords the PPA Owner protection against non-recovery of its fixed costs during periods of force majeure; and</w:t>
      </w:r>
    </w:p>
    <w:p>
      <w:pPr>
        <w:pStyle w:val="BodyText"/>
        <w:numPr>
          <w:ilvl w:val="0"/>
          <w:numId w:val="5"/>
        </w:numPr>
        <w:rPr/>
      </w:pPr>
      <w:r>
        <w:rPr/>
        <w:t xml:space="preserve">affords the PPA Owner protection against payment of availability incentive penalties during periods of force majeure. </w:t>
      </w:r>
    </w:p>
    <w:p>
      <w:pPr>
        <w:pStyle w:val="BodyText"/>
        <w:rPr/>
      </w:pPr>
      <w:r>
        <w:rPr/>
      </w:r>
    </w:p>
    <w:p>
      <w:pPr>
        <w:pStyle w:val="BodyText"/>
        <w:rPr/>
      </w:pPr>
      <w:r>
        <w:rPr/>
        <w:t xml:space="preserve">The lack of firmness of the PPA combined with broad force majeure language and an economic incentive for the PPA Owner to declare force majeure, places the PPA Buyer in the untenable position of being faced with the constant prospect of no supply and no compensation for lack of supply.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PPA Buyers can only reasonably be required to assume a level of force majeure risk that is consistent with the industry standard for commercial energy agreements.  The existence of incremental force majeure risk beyond the industry standard will result in discounting of PPA auction bids by PPA Bidders.  PPA Bidders will endeavor to price this incremental risk at some level relative to their assessment of the potential financial cost that will result from the PPA Owner being entitled to declare force majeure in circumstances where force majeure would not normally be available to the owner of a generation facility under a typical energy purchase and sale contract.  This incremental risk is extremely difficult to price and will inevitably result in discounting that exceeds its actual cost by some multiple.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The most economically efficient way to price this risk is for the consumers of electricity in Alberta, through the Balancing Pool, to “self-insure” against this incremental force majeure risk.  By “self-insuring” the risk, consumers will avoid the uncertain discounting that will otherwise be applied by PPA Bidders and will simply assume the actual cost of this incremental force majeure risk if and when it materializes. This design is similar to the current model under which consumers presently bear all the force majeure risk.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Attached as Appendix “B” is revised force majeure language that is consistent with standard industry language.  Our proposal is that to the extent that an event occurs which falls within both  the existing force majeure language in the PPA and the revised force majeure language, then the effect of the force majeure would be as dictated by the PPAs.   Conversely, to the extent that an event occurs which falls within the existing force majeure language in the PPA but does not fall within the force majeure language in Appendix “B”, the Balancing Pool would compensate the PPA Buyer for any financial loss associated with the operation of the plants below the Target Availability during the force majeure period.</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We encourage you to amend the Balancing Pool Regulation in a manner that would have the Balancing Pool indemnify and save harmless any PPA Buyer that incurs a financial loss as a result of the PPA Owner being entitled to declare force majeure under circumstances that fall outside the standard industry force majeure language for commercial energy agreements.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r>
    </w:p>
    <w:p>
      <w:pPr>
        <w:pStyle w:val="Normal"/>
        <w:numPr>
          <w:ilvl w:val="0"/>
          <w:numId w:val="7"/>
        </w:numPr>
        <w:spacing w:lineRule="atLeast" w:line="240"/>
        <w:jc w:val="both"/>
        <w:rPr>
          <w:rFonts w:ascii="Arial" w:hAnsi="Arial" w:cs="Arial"/>
          <w:sz w:val="22"/>
          <w:u w:val="single"/>
        </w:rPr>
      </w:pPr>
      <w:r>
        <w:rPr>
          <w:rFonts w:cs="Arial" w:ascii="Arial" w:hAnsi="Arial"/>
          <w:sz w:val="22"/>
          <w:u w:val="single"/>
        </w:rPr>
        <w:t>Change in Law Risk</w:t>
      </w:r>
    </w:p>
    <w:p>
      <w:pPr>
        <w:pStyle w:val="Normal"/>
        <w:spacing w:lineRule="atLeast" w:line="240"/>
        <w:jc w:val="both"/>
        <w:rPr>
          <w:rFonts w:ascii="Arial" w:hAnsi="Arial" w:cs="Arial"/>
          <w:sz w:val="22"/>
          <w:u w:val="single"/>
        </w:rPr>
      </w:pPr>
      <w:r>
        <w:rPr>
          <w:rFonts w:cs="Arial" w:ascii="Arial" w:hAnsi="Arial"/>
          <w:sz w:val="22"/>
          <w:u w:val="single"/>
        </w:rPr>
      </w:r>
    </w:p>
    <w:p>
      <w:pPr>
        <w:pStyle w:val="Normal"/>
        <w:spacing w:lineRule="atLeast" w:line="240"/>
        <w:jc w:val="both"/>
        <w:rPr>
          <w:rFonts w:ascii="Arial" w:hAnsi="Arial" w:cs="Arial"/>
          <w:sz w:val="22"/>
        </w:rPr>
      </w:pPr>
      <w:r>
        <w:rPr>
          <w:rFonts w:cs="Arial" w:ascii="Arial" w:hAnsi="Arial"/>
          <w:sz w:val="22"/>
        </w:rPr>
        <w:t xml:space="preserve">The IAT determined that the PPA Buyers are better situated to manage change in law risk than the PPA Owners.  While we may disagree with this determination, we appreciate that there is no opportunity to effect change to the PPA Owner’s entitlements.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There is, however, benefit in reassessing the allocation of this risk between PPA Buyers and consumers.  In its determination, the IAT failed to give adequate consideration to the cost of allocating this risk to PPA Buyers.  Prior to releasing its Final Report, the IAT appeared to begin to recognize the problems inherent in allocating change in law risk entirely to PPA Buyers and elected to allocate some of the risk to consumers.  This was done by capping the PPA Buyer’s financial exposure to this risk by affording it the right to exit the PPA in the event the PPA became “unprofitable” to the PPA Buyer.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The existence of change in law risk will result in discounting of PPA auction bids by PPA Bidders who will endeavor to price this risk at some level relative to their assessment of the prospect of financial loss which may result if a change in law occurs sometime during the PPA term. This risk is extremely difficult to price and will inevitably result in discounting that exceeds its actual cost.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The most economically efficient way to price this cost is for the consumers of electricity in Alberta, through the Balancing Pool, to pay the actual cost of any change in law if and when it materializes.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We encourage you to amend the Balancing Pool Regulation in a manner that would have the Balancing Pool indemnify and save harmless any PPA Buyer that incurs a financial loss as a result of a change in law. This design is similar to the current model under which consumers presently bear all change in law risk.</w:t>
      </w:r>
    </w:p>
    <w:p>
      <w:pPr>
        <w:pStyle w:val="Normal"/>
        <w:spacing w:lineRule="atLeast" w:line="240"/>
        <w:jc w:val="both"/>
        <w:rPr>
          <w:rFonts w:ascii="Arial" w:hAnsi="Arial" w:cs="Arial"/>
          <w:sz w:val="22"/>
        </w:rPr>
      </w:pPr>
      <w:r>
        <w:rPr>
          <w:rFonts w:cs="Arial" w:ascii="Arial" w:hAnsi="Arial"/>
          <w:sz w:val="22"/>
        </w:rPr>
      </w:r>
    </w:p>
    <w:p>
      <w:pPr>
        <w:pStyle w:val="Normal"/>
        <w:numPr>
          <w:ilvl w:val="0"/>
          <w:numId w:val="7"/>
        </w:numPr>
        <w:spacing w:lineRule="atLeast" w:line="240"/>
        <w:jc w:val="both"/>
        <w:rPr>
          <w:rFonts w:ascii="Arial" w:hAnsi="Arial" w:cs="Arial"/>
          <w:sz w:val="22"/>
          <w:u w:val="single"/>
        </w:rPr>
      </w:pPr>
      <w:r>
        <w:rPr>
          <w:rFonts w:cs="Arial" w:ascii="Arial" w:hAnsi="Arial"/>
          <w:sz w:val="22"/>
          <w:u w:val="single"/>
        </w:rPr>
        <w:t>Availability Incentive Calculation</w:t>
      </w:r>
    </w:p>
    <w:p>
      <w:pPr>
        <w:pStyle w:val="Normal"/>
        <w:spacing w:lineRule="atLeast" w:line="240"/>
        <w:jc w:val="both"/>
        <w:rPr>
          <w:rFonts w:ascii="Arial" w:hAnsi="Arial" w:cs="Arial"/>
          <w:sz w:val="22"/>
          <w:u w:val="single"/>
        </w:rPr>
      </w:pPr>
      <w:r>
        <w:rPr>
          <w:rFonts w:cs="Arial" w:ascii="Arial" w:hAnsi="Arial"/>
          <w:sz w:val="22"/>
          <w:u w:val="single"/>
        </w:rPr>
      </w:r>
    </w:p>
    <w:p>
      <w:pPr>
        <w:pStyle w:val="Normal"/>
        <w:spacing w:lineRule="atLeast" w:line="240"/>
        <w:jc w:val="both"/>
        <w:rPr>
          <w:rFonts w:ascii="Arial" w:hAnsi="Arial" w:cs="Arial"/>
          <w:sz w:val="22"/>
        </w:rPr>
      </w:pPr>
      <w:r>
        <w:rPr>
          <w:rFonts w:cs="Arial" w:ascii="Arial" w:hAnsi="Arial"/>
          <w:sz w:val="22"/>
        </w:rPr>
        <w:t xml:space="preserve">At page 20 of its Final Report the IAT correctly identified a concern with using Pool Prices to calculate the incentive that the PPA Owner would be paid for high levels of availability.  The IAT stated: </w:t>
      </w:r>
    </w:p>
    <w:p>
      <w:pPr>
        <w:pStyle w:val="Normal"/>
        <w:spacing w:lineRule="atLeast" w:line="240"/>
        <w:jc w:val="both"/>
        <w:rPr>
          <w:rFonts w:ascii="Arial" w:hAnsi="Arial" w:cs="Arial"/>
          <w:sz w:val="22"/>
        </w:rPr>
      </w:pPr>
      <w:r>
        <w:rPr>
          <w:rFonts w:cs="Arial" w:ascii="Arial" w:hAnsi="Arial"/>
          <w:sz w:val="22"/>
        </w:rPr>
      </w:r>
    </w:p>
    <w:p>
      <w:pPr>
        <w:pStyle w:val="BlockText"/>
        <w:rPr/>
      </w:pPr>
      <w:r>
        <w:rPr/>
        <w:t>“</w:t>
      </w:r>
      <w:r>
        <w:rPr/>
        <w:t>An owner with good availability will know within limits, what increase in Pool Price would result from the deliberate withdrawal of one of its Units.  In such a case the Owner may judge that the resulting increase in Pool Prices and the resulting availability payments to its available Units would more than compensate it for its availability incentive penalties for the deliberately withdrawn unit”.</w:t>
      </w:r>
    </w:p>
    <w:p>
      <w:pPr>
        <w:pStyle w:val="BlockText"/>
        <w:rPr/>
      </w:pPr>
      <w:r>
        <w:rPr/>
      </w:r>
    </w:p>
    <w:p>
      <w:pPr>
        <w:pStyle w:val="BodyText"/>
        <w:rPr/>
      </w:pPr>
      <w:r>
        <w:rPr/>
        <w:t xml:space="preserve">As a result of this concern, the IAT determined that it was necessary to use average Pool Prices in the calculation of availability incentives instead of actual Pool Price.  </w:t>
      </w:r>
    </w:p>
    <w:p>
      <w:pPr>
        <w:pStyle w:val="BodyText"/>
        <w:rPr/>
      </w:pPr>
      <w:r>
        <w:rPr/>
      </w:r>
    </w:p>
    <w:p>
      <w:pPr>
        <w:pStyle w:val="BodyText"/>
        <w:rPr/>
      </w:pPr>
      <w:r>
        <w:rPr/>
        <w:t xml:space="preserve">The same concern appears to have been overlooked by the IAT in relation to the PPA Owners unregulated physical and financial portfolio.  There will be circumstances where there is a financial incentive for a PPA Owner to intentionally or unintentionally remove a PPA unit from service.  When this occurs, it is likely the Pool Price will increase which could lead to a financial benefit to a PPA Owners’ unregulated affiliates far outweighing the PPA Owners’ exposure to Availability Penalties.    </w:t>
      </w:r>
    </w:p>
    <w:p>
      <w:pPr>
        <w:pStyle w:val="BodyText"/>
        <w:rPr/>
      </w:pPr>
      <w:r>
        <w:rPr/>
      </w:r>
    </w:p>
    <w:p>
      <w:pPr>
        <w:pStyle w:val="BodyText"/>
        <w:rPr/>
      </w:pPr>
      <w:r>
        <w:rPr/>
        <w:t xml:space="preserve">We appreciate the PPA Owner has an obligation under the PPA to make the Committed Capacity of the unit available to the PPA Buyer and that it would be in material default of its obligation if it were to intentionally withdraw a PPA unit from service to capitalize on the resulting higher Pool Prices.  The problem is that it will be extremely difficult to determine if an outage is intentional.  Even if an outage is not intentional there is the unacceptable incentive in place that could see the PPA Owner financially benefiting during such periods of PPA unit outage while at the same time the PPA Buyer is sustaining a financial loss associated with replacing its supply obligations at a price well above the Availability Penalty.   </w:t>
      </w:r>
    </w:p>
    <w:p>
      <w:pPr>
        <w:pStyle w:val="BodyText"/>
        <w:rPr/>
      </w:pPr>
      <w:r>
        <w:rPr/>
      </w:r>
    </w:p>
    <w:p>
      <w:pPr>
        <w:pStyle w:val="BodyText"/>
        <w:rPr/>
      </w:pPr>
      <w:r>
        <w:rPr/>
        <w:t xml:space="preserve">Attached as Appendix “C” is a table that reflects the financial benefit relative to the Availability Penalties in relation to actual unit outages that occurred on March 13, 2000, March 16, 2000, and March 21, 2000.  This table clearly demonstrates, based on actual events that have recently occurred in Alberta, the unacceptable incentive that the existing design can produce.  </w:t>
      </w:r>
    </w:p>
    <w:p>
      <w:pPr>
        <w:pStyle w:val="BodyText"/>
        <w:rPr/>
      </w:pPr>
      <w:r>
        <w:rPr/>
      </w:r>
    </w:p>
    <w:p>
      <w:pPr>
        <w:pStyle w:val="Normal"/>
        <w:spacing w:lineRule="atLeast" w:line="240"/>
        <w:jc w:val="both"/>
        <w:rPr/>
      </w:pPr>
      <w:r>
        <w:rPr>
          <w:rFonts w:cs="Arial" w:ascii="Arial" w:hAnsi="Arial"/>
          <w:sz w:val="22"/>
        </w:rPr>
        <w:t xml:space="preserve">We support the provisions in the existing Market Surveillance Regulation that allow the Power Pool Council to impose fines on a market participant or establish terms and conditions on a market participant found to have acted in contravention of any arrangement entered into under the </w:t>
      </w:r>
      <w:r>
        <w:rPr>
          <w:rFonts w:cs="Arial" w:ascii="Arial" w:hAnsi="Arial"/>
          <w:sz w:val="22"/>
          <w:u w:val="single"/>
        </w:rPr>
        <w:t>Electric Utilities Act</w:t>
      </w:r>
      <w:r>
        <w:rPr>
          <w:rFonts w:cs="Arial" w:ascii="Arial" w:hAnsi="Arial"/>
          <w:sz w:val="22"/>
        </w:rPr>
        <w:t xml:space="preserve">.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We encourage you to amend the Market Surveillance Regulation to mandate and authorize the Market Surveillance Administrator to closely monitor the financial and physical electricity trading position of each PPA Owners’ affiliates’ and direct the PPA Owner to make payments to PPA Buyer under specific circumstances.  In the event a PPA Owner is unable to deliver a quantity of electricity equal to or greater than the Target Availability and at the same time the electricity portfolio of the PPA Owners’ affiliates is in a financially or physically long position, the MSA should be authorized to direct the PPA Owner to pay the PPA Buyer a level of liquidated damages that are specifically capped at the level of “profit” realized by the PPA Owners’ affiliates during this period.  The PPA Owners’ affiliates “profit” should be defined as the revenue received on the volumes sold from its entire physical and financial portfolio that are in excess of the 30 day rolling average pool price.  Any revenue in excess of the liquidated damages necessary to keep the PPA Buyer whole during these periods should accrue to the benefit of the PPA Owner.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In the absence of this issue being addressed it is our view that the majority, if not all, energy sales by PPA Buyers will be made into the spot market, as few PPA Buyers will be prepared to assume forward contracting obligations in the face of an apparent financial incentive accruing to the PPA Owner during periods of non-delivery of electricity under the PPA. </w:t>
      </w:r>
    </w:p>
    <w:p>
      <w:pPr>
        <w:pStyle w:val="Normal"/>
        <w:spacing w:lineRule="atLeast" w:line="240"/>
        <w:jc w:val="both"/>
        <w:rPr>
          <w:rFonts w:ascii="Arial" w:hAnsi="Arial" w:cs="Arial"/>
          <w:sz w:val="22"/>
        </w:rPr>
      </w:pPr>
      <w:r>
        <w:rPr>
          <w:rFonts w:cs="Arial" w:ascii="Arial" w:hAnsi="Arial"/>
          <w:sz w:val="22"/>
        </w:rPr>
      </w:r>
    </w:p>
    <w:p>
      <w:pPr>
        <w:pStyle w:val="Normal"/>
        <w:numPr>
          <w:ilvl w:val="0"/>
          <w:numId w:val="7"/>
        </w:numPr>
        <w:spacing w:lineRule="atLeast" w:line="240"/>
        <w:jc w:val="both"/>
        <w:rPr>
          <w:rFonts w:ascii="Arial" w:hAnsi="Arial" w:cs="Arial"/>
          <w:sz w:val="22"/>
          <w:u w:val="single"/>
        </w:rPr>
      </w:pPr>
      <w:r>
        <w:rPr>
          <w:rFonts w:cs="Arial" w:ascii="Arial" w:hAnsi="Arial"/>
          <w:sz w:val="22"/>
          <w:u w:val="single"/>
        </w:rPr>
        <w:t>Termination Payments to Balancing Pool on Owners and Buyers Default</w:t>
      </w:r>
    </w:p>
    <w:p>
      <w:pPr>
        <w:pStyle w:val="Normal"/>
        <w:spacing w:lineRule="atLeast" w:line="240"/>
        <w:jc w:val="both"/>
        <w:rPr>
          <w:rFonts w:ascii="Arial" w:hAnsi="Arial" w:cs="Arial"/>
          <w:sz w:val="22"/>
          <w:u w:val="single"/>
        </w:rPr>
      </w:pPr>
      <w:r>
        <w:rPr>
          <w:rFonts w:cs="Arial" w:ascii="Arial" w:hAnsi="Arial"/>
          <w:sz w:val="22"/>
          <w:u w:val="single"/>
        </w:rPr>
      </w:r>
    </w:p>
    <w:p>
      <w:pPr>
        <w:pStyle w:val="Normal"/>
        <w:spacing w:lineRule="atLeast" w:line="240"/>
        <w:jc w:val="both"/>
        <w:rPr>
          <w:rFonts w:ascii="Arial" w:hAnsi="Arial" w:cs="Arial"/>
          <w:sz w:val="22"/>
        </w:rPr>
      </w:pPr>
      <w:r>
        <w:rPr>
          <w:rFonts w:cs="Arial" w:ascii="Arial" w:hAnsi="Arial"/>
          <w:sz w:val="22"/>
        </w:rPr>
        <w:t xml:space="preserve">We are encouraged by the Department of Resource Development’s announcement at the Bidder Technical Session that the contingency plan for those PPAs that do not receive bids above the minimum opening bid will be designed to minimize the time the PPA is held by the Balancing Pool.  This, however, emphasizes the fact that due to default by the PPA Owner or PPA Buyer, the Balancing Pool will ultimately be seeking to resell the PPA and will receive new proceeds or assume new obligations at the time of resale.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Our fundamental concern is that the Termination Payment regime should be designed to mitigate the Balancing Pool’s exposure, where possible, in the event of either PPA Buyer or PPA Owner default.  Consistent with this, the PPA Buyer should not sustain a loss resulting from the PPA Owner default to the extent that the PPA can be subsequently sold by the Balancing Pool for a positive amount.  The current model does not accomplish this design objective.</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In the case of default by the PPA Owner, the PPA Owner is required to pay the PPA Buyer the greater of zero and the net present value of the PPA at the date of default. If the PPA has a positive net present value that is below the pro-rata portion of a positive auction bid paid by a PPA Buyer, the PPA Buyer will sustain a financial loss if it elects to terminate the PPA due to a default by the PPA Owner.  Upon termination by the PPA Buyer, the PPA will revert back to the Balancing Pool.  In these circumstances, the Balancing Pool will be positioned to resell the PPA for a positive amount and under the current model will be entitled to retain the entire proceeds from resale.</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The more appropriate result is for the Balancing Pool to return any sale proceeds, less its administrative cost of reselling the PPA up to the remaining pro-rata portion of a positive auction bid, to the PPA Buyer and only retain any excess over this amount in the Balancing Pool.</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In the case of default by the PPA Buyer, the PPA Buyer is appropriately required to ensure the Balancing Pool is financially no worse off as a result of the default.  It is noteworthy that the PPA Owner does not have a similar obligation to the Balancing Pool in the event of its default.   If the PPA Buyer submitted a positive bid, then in the event of its default it will forfeit any remaining pro-rata portion of the positive bid for the balance of the unused PPA term.  If the Balancing Pool is able to resell the PPA during the term for a positive amount, the current model will entitle the Balancing Pool to retain the new sale proceeds.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The more appropriate result is for the Balancing Pool to return any sale proceeds, less any administrative cost of reselling the PPA, up to the remaining pro-rata portion of a positive auction bid, to the PPA Buyer and only retain any excess over this amount in the Balancing Pool.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 xml:space="preserve">We encourage you to amend the Balancing Pool Regulation in a manner that would entitle the Balancing Pool to receive its administrative costs associated with the resale of any PPA that reverts to the Balancing Pool.  Additional sale proceeds should first accrue to the PPA Buyer to mitigate its financial loss, with any excess resale proceeds accruing to the Balancing Pool. </w:t>
      </w:r>
    </w:p>
    <w:p>
      <w:pPr>
        <w:pStyle w:val="Heading3"/>
        <w:ind w:hanging="0" w:start="0"/>
        <w:rPr>
          <w:rFonts w:ascii="Arial" w:hAnsi="Arial" w:cs="Arial"/>
          <w:sz w:val="22"/>
        </w:rPr>
      </w:pPr>
      <w:r>
        <w:rPr>
          <w:rFonts w:cs="Arial"/>
          <w:sz w:val="22"/>
        </w:rPr>
      </w:r>
    </w:p>
    <w:p>
      <w:pPr>
        <w:pStyle w:val="Heading3"/>
        <w:ind w:hanging="0" w:start="0"/>
        <w:rPr/>
      </w:pPr>
      <w:r>
        <w:rPr/>
        <w:t>Conclusion</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pPr>
      <w:r>
        <w:rPr>
          <w:rFonts w:cs="Arial" w:ascii="Arial" w:hAnsi="Arial"/>
          <w:sz w:val="22"/>
        </w:rPr>
        <w:t xml:space="preserve">We appreciate that time is now of the essence with respect to finalizing the design of a PPA model that satisfies the multiple objectives of the PPA auction process.   It is for this reason that we have restricted our proposals to these six important issues that will materially impact the level of bids in the auction and that can be addressed without changing the PPAs or the </w:t>
      </w:r>
      <w:r>
        <w:rPr>
          <w:rFonts w:cs="Arial" w:ascii="Arial" w:hAnsi="Arial"/>
          <w:sz w:val="22"/>
          <w:u w:val="single"/>
        </w:rPr>
        <w:t>Electric Utilities Act</w:t>
      </w:r>
      <w:r>
        <w:rPr>
          <w:rFonts w:cs="Arial" w:ascii="Arial" w:hAnsi="Arial"/>
          <w:sz w:val="22"/>
        </w:rPr>
        <w:t xml:space="preserve">.   </w:t>
      </w:r>
    </w:p>
    <w:p>
      <w:pPr>
        <w:pStyle w:val="Normal"/>
        <w:spacing w:lineRule="atLeast" w:line="240"/>
        <w:jc w:val="both"/>
        <w:rPr>
          <w:rFonts w:ascii="Arial" w:hAnsi="Arial" w:cs="Arial"/>
          <w:sz w:val="22"/>
        </w:rPr>
      </w:pPr>
      <w:r>
        <w:rPr>
          <w:rFonts w:cs="Arial" w:ascii="Arial" w:hAnsi="Arial"/>
          <w:sz w:val="22"/>
        </w:rPr>
      </w:r>
      <w:r>
        <w:br w:type="page"/>
      </w:r>
    </w:p>
    <w:p>
      <w:pPr>
        <w:pStyle w:val="Normal"/>
        <w:spacing w:lineRule="atLeast" w:line="240"/>
        <w:jc w:val="both"/>
        <w:rPr>
          <w:rFonts w:ascii="Arial" w:hAnsi="Arial" w:cs="Arial"/>
          <w:sz w:val="22"/>
        </w:rPr>
      </w:pPr>
      <w:r>
        <w:rPr>
          <w:rFonts w:cs="Arial" w:ascii="Arial" w:hAnsi="Arial"/>
          <w:sz w:val="22"/>
        </w:rPr>
        <w:t>We understand that the current schedule for the PPA auction process indicates that the Bidder Qualification Period will end on May 3, 2000.  In view of the importance of the issues raised in this letter to the success of the auction, we encourage you to extend the Bidder Qualification Period to June 3, 2000.  This extension may result in a corresponding delay in the subsequent steps in the PPA auction process but is necessary for three reasons:</w:t>
      </w:r>
    </w:p>
    <w:p>
      <w:pPr>
        <w:pStyle w:val="Normal"/>
        <w:spacing w:lineRule="atLeast" w:line="240"/>
        <w:jc w:val="both"/>
        <w:rPr>
          <w:rFonts w:ascii="Arial" w:hAnsi="Arial" w:cs="Arial"/>
          <w:sz w:val="22"/>
        </w:rPr>
      </w:pPr>
      <w:r>
        <w:rPr>
          <w:rFonts w:cs="Arial" w:ascii="Arial" w:hAnsi="Arial"/>
          <w:sz w:val="22"/>
        </w:rPr>
      </w:r>
    </w:p>
    <w:p>
      <w:pPr>
        <w:pStyle w:val="Normal"/>
        <w:numPr>
          <w:ilvl w:val="0"/>
          <w:numId w:val="4"/>
        </w:numPr>
        <w:spacing w:lineRule="atLeast" w:line="240"/>
        <w:jc w:val="both"/>
        <w:rPr>
          <w:rFonts w:ascii="Arial" w:hAnsi="Arial" w:cs="Arial"/>
          <w:sz w:val="22"/>
        </w:rPr>
      </w:pPr>
      <w:r>
        <w:rPr>
          <w:rFonts w:cs="Arial" w:ascii="Arial" w:hAnsi="Arial"/>
          <w:sz w:val="22"/>
        </w:rPr>
        <w:t>it will afford you and your officials a reasonable period of time to assess the proposed changes to the PPA model;</w:t>
      </w:r>
    </w:p>
    <w:p>
      <w:pPr>
        <w:pStyle w:val="Normal"/>
        <w:numPr>
          <w:ilvl w:val="0"/>
          <w:numId w:val="4"/>
        </w:numPr>
        <w:spacing w:lineRule="atLeast" w:line="240"/>
        <w:jc w:val="both"/>
        <w:rPr>
          <w:rFonts w:ascii="Arial" w:hAnsi="Arial" w:cs="Arial"/>
          <w:sz w:val="22"/>
        </w:rPr>
      </w:pPr>
      <w:r>
        <w:rPr>
          <w:rFonts w:cs="Arial" w:ascii="Arial" w:hAnsi="Arial"/>
          <w:sz w:val="22"/>
        </w:rPr>
        <w:t>it will afford consumers groups and individual consumers with a reasonable period of time to assess the proposed changes to the PPA model and provide you and your officials with thoughtful comment on the proposed changes to the PPA model; and</w:t>
      </w:r>
    </w:p>
    <w:p>
      <w:pPr>
        <w:pStyle w:val="Normal"/>
        <w:numPr>
          <w:ilvl w:val="0"/>
          <w:numId w:val="4"/>
        </w:numPr>
        <w:spacing w:lineRule="atLeast" w:line="240"/>
        <w:jc w:val="both"/>
        <w:rPr>
          <w:rFonts w:ascii="Arial" w:hAnsi="Arial" w:cs="Arial"/>
          <w:sz w:val="22"/>
        </w:rPr>
      </w:pPr>
      <w:r>
        <w:rPr>
          <w:rFonts w:cs="Arial" w:ascii="Arial" w:hAnsi="Arial"/>
          <w:sz w:val="22"/>
        </w:rPr>
        <w:t xml:space="preserve">it will afford interested parties that have made the decision not to qualify for the auction under the present PPA model the opportunity to assess any changes that you and your officials will direct be made to the PPA model, and potentially change their decision not to participate.  </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t>We look forward to your reply.</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ind w:start="4320" w:end="0"/>
        <w:jc w:val="both"/>
        <w:rPr>
          <w:rFonts w:ascii="Arial" w:hAnsi="Arial" w:cs="Arial"/>
          <w:sz w:val="22"/>
        </w:rPr>
      </w:pPr>
      <w:r>
        <w:rPr>
          <w:rFonts w:cs="Arial" w:ascii="Arial" w:hAnsi="Arial"/>
          <w:sz w:val="22"/>
        </w:rPr>
        <w:t>Yours truly,</w:t>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jc w:val="both"/>
        <w:rPr>
          <w:rFonts w:ascii="Arial" w:hAnsi="Arial" w:cs="Arial"/>
          <w:sz w:val="22"/>
        </w:rPr>
      </w:pPr>
      <w:r>
        <w:rPr>
          <w:rFonts w:cs="Arial" w:ascii="Arial" w:hAnsi="Arial"/>
          <w:sz w:val="22"/>
        </w:rPr>
      </w:r>
    </w:p>
    <w:p>
      <w:pPr>
        <w:pStyle w:val="Normal"/>
        <w:spacing w:lineRule="atLeast" w:line="240"/>
        <w:ind w:start="4320" w:end="0"/>
        <w:jc w:val="both"/>
        <w:rPr>
          <w:rFonts w:ascii="Arial" w:hAnsi="Arial" w:cs="Arial"/>
          <w:sz w:val="22"/>
        </w:rPr>
      </w:pPr>
      <w:r>
        <w:rPr>
          <w:rFonts w:cs="Arial" w:ascii="Arial" w:hAnsi="Arial"/>
          <w:sz w:val="22"/>
        </w:rPr>
        <w:t>Please see “Signatories in Counterpart” page appended to this letter.</w:t>
      </w:r>
    </w:p>
    <w:p>
      <w:pPr>
        <w:pStyle w:val="Normal"/>
        <w:spacing w:lineRule="atLeast" w:line="24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cc:</w:t>
        <w:tab/>
        <w:t>Ken Smith</w:t>
      </w:r>
    </w:p>
    <w:p>
      <w:pPr>
        <w:pStyle w:val="Normal"/>
        <w:jc w:val="both"/>
        <w:rPr>
          <w:rFonts w:ascii="Arial" w:hAnsi="Arial" w:cs="Arial"/>
          <w:sz w:val="22"/>
        </w:rPr>
      </w:pPr>
      <w:r>
        <w:rPr>
          <w:rFonts w:cs="Arial" w:ascii="Arial" w:hAnsi="Arial"/>
          <w:sz w:val="22"/>
        </w:rPr>
        <w:tab/>
        <w:t xml:space="preserve">Deputy Minister of Resource Development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Larry Charach</w:t>
      </w:r>
    </w:p>
    <w:p>
      <w:pPr>
        <w:pStyle w:val="Normal"/>
        <w:ind w:firstLine="720" w:end="0"/>
        <w:jc w:val="both"/>
        <w:rPr>
          <w:rFonts w:ascii="Arial" w:hAnsi="Arial" w:cs="Arial"/>
          <w:sz w:val="22"/>
        </w:rPr>
      </w:pPr>
      <w:r>
        <w:rPr>
          <w:rFonts w:cs="Arial" w:ascii="Arial" w:hAnsi="Arial"/>
          <w:sz w:val="22"/>
        </w:rPr>
        <w:t>Executive Director, Electricity</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Brad Miller</w:t>
      </w:r>
    </w:p>
    <w:p>
      <w:pPr>
        <w:pStyle w:val="Normal"/>
        <w:ind w:firstLine="720" w:end="0"/>
        <w:jc w:val="both"/>
        <w:rPr>
          <w:rFonts w:ascii="Arial" w:hAnsi="Arial" w:cs="Arial"/>
          <w:sz w:val="22"/>
        </w:rPr>
      </w:pPr>
      <w:r>
        <w:rPr>
          <w:rFonts w:cs="Arial" w:ascii="Arial" w:hAnsi="Arial"/>
          <w:sz w:val="22"/>
        </w:rPr>
        <w:t>CRA, Independent Assessment Team</w:t>
      </w:r>
    </w:p>
    <w:p>
      <w:pPr>
        <w:pStyle w:val="Normal"/>
        <w:ind w:firstLine="720" w:end="0"/>
        <w:jc w:val="both"/>
        <w:rPr>
          <w:rFonts w:ascii="Arial" w:hAnsi="Arial" w:cs="Arial"/>
          <w:sz w:val="22"/>
        </w:rPr>
      </w:pPr>
      <w:r>
        <w:rPr>
          <w:rFonts w:cs="Arial" w:ascii="Arial" w:hAnsi="Arial"/>
          <w:sz w:val="22"/>
        </w:rPr>
      </w:r>
    </w:p>
    <w:p>
      <w:pPr>
        <w:pStyle w:val="Normal"/>
        <w:ind w:firstLine="720" w:end="0"/>
        <w:jc w:val="center"/>
        <w:rPr>
          <w:rFonts w:ascii="Arial" w:hAnsi="Arial" w:cs="Arial"/>
          <w:sz w:val="22"/>
        </w:rPr>
      </w:pPr>
      <w:r>
        <w:rPr>
          <w:rFonts w:cs="Arial" w:ascii="Arial" w:hAnsi="Arial"/>
          <w:sz w:val="22"/>
        </w:rPr>
      </w:r>
      <w:r>
        <w:br w:type="page"/>
      </w:r>
    </w:p>
    <w:p>
      <w:pPr>
        <w:pStyle w:val="Normal"/>
        <w:ind w:firstLine="720" w:end="0"/>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Signatories in Counterpart</w:t>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Company:</w:t>
      </w:r>
    </w:p>
    <w:p>
      <w:pPr>
        <w:pStyle w:val="Normal"/>
        <w:rPr>
          <w:rFonts w:ascii="Arial" w:hAnsi="Arial" w:cs="Arial"/>
          <w:sz w:val="22"/>
        </w:rPr>
      </w:pPr>
      <w:r>
        <w:rPr>
          <w:rFonts w:cs="Arial" w:ascii="Arial" w:hAnsi="Arial"/>
          <w:sz w:val="22"/>
        </w:rPr>
        <w:t>By: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__________________________</w:t>
      </w:r>
    </w:p>
    <w:p>
      <w:pPr>
        <w:pStyle w:val="Normal"/>
        <w:rPr>
          <w:rFonts w:ascii="Arial" w:hAnsi="Arial" w:cs="Arial"/>
          <w:sz w:val="22"/>
        </w:rPr>
      </w:pPr>
      <w:r>
        <w:rPr>
          <w:rFonts w:cs="Arial" w:ascii="Arial" w:hAnsi="Arial"/>
          <w:sz w:val="22"/>
        </w:rPr>
        <w:t>Name:</w:t>
      </w:r>
    </w:p>
    <w:p>
      <w:pPr>
        <w:pStyle w:val="Normal"/>
        <w:rPr>
          <w:rFonts w:ascii="Arial" w:hAnsi="Arial" w:cs="Arial"/>
          <w:sz w:val="22"/>
        </w:rPr>
      </w:pPr>
      <w:r>
        <w:rPr>
          <w:rFonts w:cs="Arial" w:ascii="Arial" w:hAnsi="Arial"/>
          <w:sz w:val="22"/>
        </w:rPr>
        <w:t>Title:</w:t>
      </w:r>
    </w:p>
    <w:p>
      <w:pPr>
        <w:pStyle w:val="Normal"/>
        <w:rPr>
          <w:rFonts w:ascii="Arial" w:hAnsi="Arial" w:cs="Arial"/>
          <w:sz w:val="22"/>
        </w:rPr>
      </w:pPr>
      <w:r>
        <w:rPr>
          <w:rFonts w:cs="Arial" w:ascii="Arial" w:hAnsi="Arial"/>
          <w:sz w:val="22"/>
        </w:rPr>
      </w:r>
      <w:r>
        <w:br w:type="page"/>
      </w:r>
    </w:p>
    <w:p>
      <w:pPr>
        <w:pStyle w:val="Heading"/>
        <w:rPr>
          <w:b w:val="false"/>
          <w:u w:val="none"/>
        </w:rPr>
      </w:pPr>
      <w:r>
        <w:rPr>
          <w:b w:val="false"/>
          <w:u w:val="none"/>
        </w:rPr>
        <w:t>Appendix “A”</w:t>
      </w:r>
    </w:p>
    <w:p>
      <w:pPr>
        <w:pStyle w:val="Heading"/>
        <w:rPr>
          <w:b w:val="false"/>
          <w:u w:val="none"/>
        </w:rPr>
      </w:pPr>
      <w:r>
        <w:rPr>
          <w:b w:val="false"/>
          <w:u w:val="none"/>
        </w:rPr>
      </w:r>
    </w:p>
    <w:p>
      <w:pPr>
        <w:pStyle w:val="Normal"/>
        <w:jc w:val="center"/>
        <w:rPr>
          <w:b/>
          <w:sz w:val="28"/>
          <w:u w:val="single"/>
        </w:rPr>
      </w:pPr>
      <w:r>
        <w:rPr>
          <w:b/>
          <w:sz w:val="28"/>
          <w:u w:val="single"/>
        </w:rPr>
        <w:t>Discounted Negative Bids</w:t>
      </w:r>
    </w:p>
    <w:p>
      <w:pPr>
        <w:pStyle w:val="Normal"/>
        <w:rPr>
          <w:b/>
          <w:sz w:val="28"/>
          <w:u w:val="single"/>
        </w:rPr>
      </w:pPr>
      <w:r>
        <w:rPr>
          <w:b/>
          <w:sz w:val="28"/>
          <w:u w:val="single"/>
        </w:rPr>
      </w:r>
    </w:p>
    <w:p>
      <w:pPr>
        <w:pStyle w:val="Normal"/>
        <w:numPr>
          <w:ilvl w:val="0"/>
          <w:numId w:val="3"/>
        </w:numPr>
        <w:rPr>
          <w:sz w:val="24"/>
        </w:rPr>
      </w:pPr>
      <w:r>
        <w:rPr>
          <w:sz w:val="24"/>
        </w:rPr>
        <w:t xml:space="preserve">The Alberta Government has indicated that no negative bid shall be accepted at less than the negative book value of the PPA units. </w:t>
      </w:r>
    </w:p>
    <w:p>
      <w:pPr>
        <w:pStyle w:val="Normal"/>
        <w:numPr>
          <w:ilvl w:val="0"/>
          <w:numId w:val="3"/>
        </w:numPr>
        <w:rPr>
          <w:sz w:val="24"/>
        </w:rPr>
      </w:pPr>
      <w:r>
        <w:rPr>
          <w:sz w:val="24"/>
        </w:rPr>
        <w:t xml:space="preserve">At the April 12, 2000 technical bidders session, the Government of Alberta released Minimum Opening Bids (MOB) based to some extent on the negative book value of the PPA assets. </w:t>
      </w:r>
    </w:p>
    <w:p>
      <w:pPr>
        <w:pStyle w:val="Normal"/>
        <w:numPr>
          <w:ilvl w:val="0"/>
          <w:numId w:val="3"/>
        </w:numPr>
        <w:rPr>
          <w:sz w:val="24"/>
        </w:rPr>
      </w:pPr>
      <w:r>
        <w:rPr>
          <w:sz w:val="24"/>
        </w:rPr>
        <w:t>The negative book value of the PPA assets is a present value, while the negative bid amounts are to be paid out by the Balancing Pool as a simple non-discounted annuity over the term of the PPA.</w:t>
      </w:r>
    </w:p>
    <w:p>
      <w:pPr>
        <w:pStyle w:val="Normal"/>
        <w:numPr>
          <w:ilvl w:val="0"/>
          <w:numId w:val="3"/>
        </w:numPr>
        <w:rPr>
          <w:sz w:val="24"/>
        </w:rPr>
      </w:pPr>
      <w:r>
        <w:rPr>
          <w:sz w:val="24"/>
        </w:rPr>
        <w:t>The negative book values  (MOB) have been adjusted (see Adjusted MOB) to reflect the timing differences between a present negative book value and a negative bid to be paid over the life of the PPA. The following chart details the Adjusted MOB for the PPAs with Negative Bids:</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Unit</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MOB</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Adjusted MOB</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1"/>
              <w:ind w:hanging="0" w:start="0"/>
              <w:jc w:val="start"/>
              <w:rPr>
                <w:b w:val="false"/>
              </w:rPr>
            </w:pPr>
            <w:r>
              <w:rPr>
                <w:b w:val="false"/>
              </w:rPr>
              <w:t>Cloverbar</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end"/>
              <w:rPr/>
            </w:pPr>
            <w:r>
              <w:rPr/>
              <w:t>($72,304,000)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end"/>
              <w:rPr/>
            </w:pPr>
            <w:r>
              <w:rPr/>
              <w:t>($111,593,000)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HR Milner</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end"/>
              <w:rPr/>
            </w:pPr>
            <w:r>
              <w:rPr/>
              <w:t>($58,132,000)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end"/>
              <w:rPr/>
            </w:pPr>
            <w:r>
              <w:rPr/>
              <w:t>($96,379,000)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Rainbow</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end"/>
              <w:rPr/>
            </w:pPr>
            <w:r>
              <w:rPr/>
              <w:t>($17,701,000)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end"/>
              <w:rPr/>
            </w:pPr>
            <w:r>
              <w:rPr/>
              <w:t>($22,638,000)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Rossdale</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end"/>
              <w:rPr/>
            </w:pPr>
            <w:r>
              <w:rPr/>
              <w:t>($4,962,000)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end"/>
              <w:rPr/>
            </w:pPr>
            <w:r>
              <w:rPr/>
              <w:t>($5,867,000)</w:t>
            </w:r>
          </w:p>
        </w:tc>
      </w:tr>
    </w:tbl>
    <w:p>
      <w:pPr>
        <w:pStyle w:val="Normal"/>
        <w:rPr/>
      </w:pPr>
      <w:r>
        <w:rPr/>
        <w:t xml:space="preserve">   </w:t>
      </w:r>
      <w:r>
        <w:rPr/>
        <w:br/>
      </w:r>
    </w:p>
    <w:p>
      <w:pPr>
        <w:pStyle w:val="Normal"/>
        <w:numPr>
          <w:ilvl w:val="0"/>
          <w:numId w:val="2"/>
        </w:numPr>
        <w:rPr>
          <w:rFonts w:ascii="Arial" w:hAnsi="Arial" w:cs="Arial"/>
          <w:color w:val="000000"/>
          <w:sz w:val="24"/>
          <w:lang w:eastAsia="en-US"/>
        </w:rPr>
      </w:pPr>
      <w:r>
        <w:rPr>
          <w:rFonts w:cs="Arial" w:ascii="Arial" w:hAnsi="Arial"/>
          <w:color w:val="000000"/>
          <w:sz w:val="24"/>
          <w:lang w:eastAsia="en-US"/>
        </w:rPr>
        <w:t xml:space="preserve">Each bidder will use a different discount rate in determining their bid, this example uses a standard discount factor based on the Banker’s Acceptance rate as of April 14, 2000 plus 200 basis points.  </w:t>
      </w:r>
    </w:p>
    <w:p>
      <w:pPr>
        <w:pStyle w:val="Normal"/>
        <w:numPr>
          <w:ilvl w:val="0"/>
          <w:numId w:val="2"/>
        </w:numPr>
        <w:rPr>
          <w:rFonts w:ascii="Arial" w:hAnsi="Arial" w:cs="Arial"/>
          <w:color w:val="000000"/>
          <w:sz w:val="24"/>
          <w:lang w:eastAsia="en-US"/>
        </w:rPr>
      </w:pPr>
      <w:r>
        <w:rPr>
          <w:rFonts w:cs="Arial" w:ascii="Arial" w:hAnsi="Arial"/>
          <w:color w:val="000000"/>
          <w:sz w:val="24"/>
          <w:lang w:eastAsia="en-US"/>
        </w:rPr>
        <w:t xml:space="preserve">MOB = The sum of: [(Adjusted MOB total for unit/number of months in term) times (monthly discount factor)] </w:t>
      </w:r>
    </w:p>
    <w:p>
      <w:pPr>
        <w:pStyle w:val="Normal"/>
        <w:numPr>
          <w:ilvl w:val="0"/>
          <w:numId w:val="2"/>
        </w:numPr>
        <w:rPr>
          <w:rFonts w:ascii="Arial" w:hAnsi="Arial" w:cs="Arial"/>
          <w:color w:val="000000"/>
          <w:sz w:val="24"/>
          <w:lang w:eastAsia="en-US"/>
        </w:rPr>
      </w:pPr>
      <w:r>
        <w:rPr>
          <w:rFonts w:cs="Arial" w:ascii="Arial" w:hAnsi="Arial"/>
          <w:color w:val="000000"/>
          <w:sz w:val="24"/>
          <w:lang w:eastAsia="en-US"/>
        </w:rPr>
        <w:t>Adjusted MOB = [(Sum of annuity payments)/number of months in term]*[(1/Average discount factor over term)]*[number of months in term]</w:t>
      </w:r>
    </w:p>
    <w:p>
      <w:pPr>
        <w:pStyle w:val="Normal"/>
        <w:numPr>
          <w:ilvl w:val="0"/>
          <w:numId w:val="2"/>
        </w:numPr>
        <w:rPr>
          <w:rFonts w:ascii="Arial" w:hAnsi="Arial" w:cs="Arial"/>
          <w:color w:val="000000"/>
          <w:sz w:val="24"/>
          <w:lang w:eastAsia="en-US"/>
        </w:rPr>
      </w:pPr>
      <w:r>
        <w:rPr>
          <w:rFonts w:cs="Arial" w:ascii="Arial" w:hAnsi="Arial"/>
          <w:color w:val="000000"/>
          <w:sz w:val="24"/>
          <w:lang w:eastAsia="en-US"/>
        </w:rPr>
        <w:t>Cloverbar example: ($111,593,000) = [($72,304,000)/120]*[(1/.647927)]*[120]</w:t>
      </w:r>
    </w:p>
    <w:p>
      <w:pPr>
        <w:pStyle w:val="Normal"/>
        <w:rPr>
          <w:rFonts w:ascii="Arial" w:hAnsi="Arial" w:cs="Arial"/>
          <w:color w:val="000000"/>
          <w:sz w:val="24"/>
          <w:lang w:eastAsia="en-US"/>
        </w:rPr>
      </w:pPr>
      <w:r>
        <w:rPr>
          <w:rFonts w:cs="Arial" w:ascii="Arial" w:hAnsi="Arial"/>
          <w:color w:val="000000"/>
          <w:sz w:val="24"/>
          <w:lang w:eastAsia="en-US"/>
        </w:rPr>
      </w:r>
      <w:r>
        <w:br w:type="page"/>
      </w:r>
    </w:p>
    <w:p>
      <w:pPr>
        <w:pStyle w:val="Body"/>
        <w:spacing w:before="120" w:after="120"/>
        <w:ind w:start="0" w:end="0"/>
        <w:jc w:val="center"/>
        <w:rPr>
          <w:sz w:val="24"/>
        </w:rPr>
      </w:pPr>
      <w:r>
        <w:rPr>
          <w:sz w:val="24"/>
        </w:rPr>
        <w:t>Appendix “B”</w:t>
      </w:r>
    </w:p>
    <w:p>
      <w:pPr>
        <w:pStyle w:val="Body"/>
        <w:spacing w:before="120" w:after="120"/>
        <w:ind w:start="0" w:end="0"/>
        <w:jc w:val="center"/>
        <w:rPr>
          <w:sz w:val="22"/>
        </w:rPr>
      </w:pPr>
      <w:r>
        <w:rPr>
          <w:sz w:val="22"/>
        </w:rPr>
      </w:r>
    </w:p>
    <w:p>
      <w:pPr>
        <w:pStyle w:val="Body"/>
        <w:numPr>
          <w:ilvl w:val="0"/>
          <w:numId w:val="9"/>
        </w:numPr>
        <w:spacing w:before="120" w:after="120"/>
        <w:jc w:val="both"/>
        <w:rPr>
          <w:sz w:val="22"/>
        </w:rPr>
      </w:pPr>
      <w:r>
        <w:rPr>
          <w:sz w:val="22"/>
        </w:rPr>
        <w:t>Define “Force Majeure” as the following:</w:t>
      </w:r>
    </w:p>
    <w:p>
      <w:pPr>
        <w:pStyle w:val="Body"/>
        <w:spacing w:before="120" w:after="120"/>
        <w:ind w:start="720" w:end="720"/>
        <w:jc w:val="both"/>
        <w:rPr>
          <w:sz w:val="22"/>
        </w:rPr>
      </w:pPr>
      <w:r>
        <w:rPr>
          <w:sz w:val="22"/>
        </w:rPr>
        <w:t>““</w:t>
      </w:r>
      <w:r>
        <w:rPr>
          <w:sz w:val="22"/>
        </w:rPr>
        <w:t>Force Majeure” means any event or cause which is beyond the reasonable control of the affected Party, but limited to an act of God, flood, earthquake, storm, lightening, fire, epidemic, war, blockade, explosion, riot, act of civil or military authority, civil disturbance or disobedience, strike, lockout or other labour dispute or industrial disturbance, accident, sabotage, any suspension of delivery of Electricity pursuant to Section 5.4, restraint by court order of any Laws, or the action or inaction of any Governmental Authority, provided that, for certainty:  (a) lack of funds or available financing, or economic hardship shall not constitute Force Majeure; (b) compliance with the requirements of Article 7 shall not constitute a basis for asserting that, or for determining whether, an event or cause is beyond the reasonable control of a Party as hereby contemplated; and (c) none of the foregoing shall excuse the performance, in whole or in part, of a Party’s obligations under Article 7.”;</w:t>
      </w:r>
    </w:p>
    <w:p>
      <w:pPr>
        <w:pStyle w:val="Body"/>
        <w:numPr>
          <w:ilvl w:val="0"/>
          <w:numId w:val="9"/>
        </w:numPr>
        <w:spacing w:before="120" w:after="120"/>
        <w:jc w:val="both"/>
        <w:rPr>
          <w:sz w:val="22"/>
        </w:rPr>
      </w:pPr>
      <w:r>
        <w:rPr>
          <w:sz w:val="22"/>
        </w:rPr>
        <w:t>Amend Section 14.1 of the PPA to read as follows (revisions underlined):</w:t>
      </w:r>
    </w:p>
    <w:p>
      <w:pPr>
        <w:pStyle w:val="Body"/>
        <w:spacing w:before="120" w:after="120"/>
        <w:ind w:start="720" w:end="720"/>
        <w:jc w:val="both"/>
        <w:rPr>
          <w:sz w:val="22"/>
        </w:rPr>
      </w:pPr>
      <w:r>
        <w:rPr>
          <w:sz w:val="22"/>
        </w:rPr>
        <w:t>“</w:t>
      </w:r>
      <w:r>
        <w:rPr>
          <w:sz w:val="22"/>
        </w:rPr>
        <w:t>14.1.</w:t>
        <w:tab/>
        <w:t>Owner’s Force Majeure</w:t>
      </w:r>
    </w:p>
    <w:p>
      <w:pPr>
        <w:pStyle w:val="Body"/>
        <w:spacing w:before="120" w:after="120"/>
        <w:ind w:start="720" w:end="720"/>
        <w:jc w:val="both"/>
        <w:rPr/>
      </w:pPr>
      <w:r>
        <w:rPr>
          <w:sz w:val="22"/>
          <w:u w:val="single"/>
        </w:rPr>
        <w:t>During any event or occurrence affecting the Plant which is caused by any event or occurrence of the character herein defined as constituting Force Majeure, and which renders the Owner unable, in whole or in part, to generate Electricity at the Plant, or to deliver Electricity to the Delivery Point, as herein required, but</w:t>
      </w:r>
      <w:r>
        <w:rPr>
          <w:sz w:val="22"/>
        </w:rPr>
        <w:t xml:space="preserve"> insofar only as </w:t>
      </w:r>
      <w:r>
        <w:rPr>
          <w:sz w:val="22"/>
          <w:u w:val="single"/>
        </w:rPr>
        <w:t>those</w:t>
      </w:r>
      <w:r>
        <w:rPr>
          <w:sz w:val="22"/>
        </w:rPr>
        <w:t xml:space="preserve"> obligations are affected by the event of Force Majeure, </w:t>
      </w:r>
      <w:r>
        <w:rPr>
          <w:sz w:val="22"/>
          <w:u w:val="single"/>
        </w:rPr>
        <w:t>the obligations of the Owner with respect to any portion of a Monthly Incentive Payment which results from a reduction in the Actual Availability as a result of such event of Force Majeure</w:t>
      </w:r>
      <w:r>
        <w:rPr>
          <w:sz w:val="22"/>
        </w:rPr>
        <w:t xml:space="preserve"> shall be suspended for so long as the event of Force Majeure continues to prevent the performance of, or compliance with such </w:t>
      </w:r>
      <w:r>
        <w:rPr>
          <w:sz w:val="22"/>
          <w:u w:val="single"/>
        </w:rPr>
        <w:t>generation or delivery</w:t>
      </w:r>
      <w:r>
        <w:rPr>
          <w:sz w:val="22"/>
        </w:rPr>
        <w:t xml:space="preserve"> obligations, </w:t>
      </w:r>
      <w:r>
        <w:rPr>
          <w:sz w:val="22"/>
          <w:u w:val="single"/>
        </w:rPr>
        <w:t>and any Monthly Incentive Payment applicable during such period shall therefore be reduced as provided for in Schedule D to reflect such inability of the Owner</w:t>
      </w:r>
      <w:r>
        <w:rPr>
          <w:sz w:val="22"/>
        </w:rPr>
        <w:t>.”</w:t>
      </w:r>
    </w:p>
    <w:p>
      <w:pPr>
        <w:pStyle w:val="Body"/>
        <w:numPr>
          <w:ilvl w:val="0"/>
          <w:numId w:val="9"/>
        </w:numPr>
        <w:spacing w:before="120" w:after="120"/>
        <w:jc w:val="both"/>
        <w:rPr>
          <w:sz w:val="22"/>
        </w:rPr>
      </w:pPr>
      <w:r>
        <w:rPr>
          <w:sz w:val="22"/>
        </w:rPr>
        <w:t>Amend Section 14.5 of the PPA entitled “Buyer’s Force Majeure” so that it is now Section 14.2, by deleting the words in the first line “existing on the IES which is caused by any event” and by changing the references to Section 14.4 to Section 14.5.</w:t>
      </w:r>
    </w:p>
    <w:p>
      <w:pPr>
        <w:pStyle w:val="Body"/>
        <w:numPr>
          <w:ilvl w:val="0"/>
          <w:numId w:val="9"/>
        </w:numPr>
        <w:spacing w:before="120" w:after="120"/>
        <w:jc w:val="both"/>
        <w:rPr>
          <w:sz w:val="22"/>
        </w:rPr>
      </w:pPr>
      <w:r>
        <w:rPr>
          <w:sz w:val="22"/>
        </w:rPr>
        <w:t xml:space="preserve">By renumbering Sections 14.2, 14.3 and 14.4 to Sections 14.3, 14.4. and 14.5, of the PPA respectively.  </w:t>
      </w:r>
    </w:p>
    <w:p>
      <w:pPr>
        <w:pStyle w:val="Body"/>
        <w:numPr>
          <w:ilvl w:val="0"/>
          <w:numId w:val="9"/>
        </w:numPr>
        <w:spacing w:before="120" w:after="120"/>
        <w:jc w:val="both"/>
        <w:rPr>
          <w:sz w:val="22"/>
        </w:rPr>
      </w:pPr>
      <w:r>
        <w:rPr>
          <w:sz w:val="22"/>
        </w:rPr>
        <w:t>By amending paragraphs (a) and (b) of 14.6 of the PPA as follows (revisions underlined):</w:t>
      </w:r>
    </w:p>
    <w:p>
      <w:pPr>
        <w:pStyle w:val="Body"/>
        <w:spacing w:before="120" w:after="120"/>
        <w:ind w:start="720" w:end="720"/>
        <w:jc w:val="both"/>
        <w:rPr/>
      </w:pPr>
      <w:r>
        <w:rPr>
          <w:sz w:val="22"/>
        </w:rPr>
        <w:t>“</w:t>
      </w:r>
      <w:r>
        <w:rPr>
          <w:sz w:val="22"/>
        </w:rPr>
        <w:t>(a)</w:t>
        <w:tab/>
        <w:t xml:space="preserve">for any period </w:t>
      </w:r>
      <w:r>
        <w:rPr>
          <w:sz w:val="22"/>
          <w:u w:val="single"/>
        </w:rPr>
        <w:t>aggregating to 180 days in any immediately preceding 365-day period</w:t>
      </w:r>
      <w:r>
        <w:rPr>
          <w:sz w:val="22"/>
        </w:rPr>
        <w:t>; or</w:t>
      </w:r>
    </w:p>
    <w:p>
      <w:pPr>
        <w:pStyle w:val="Body"/>
        <w:spacing w:before="120" w:after="120"/>
        <w:ind w:start="720" w:end="720"/>
        <w:jc w:val="both"/>
        <w:rPr/>
      </w:pPr>
      <w:r>
        <w:rPr>
          <w:sz w:val="22"/>
        </w:rPr>
        <w:t xml:space="preserve">(b) where both Parties agree that such Force Majeure event will have such an effect </w:t>
      </w:r>
      <w:r>
        <w:rPr>
          <w:sz w:val="22"/>
          <w:u w:val="single"/>
        </w:rPr>
        <w:t>for 180 days in aggregate in any 365-day period</w:t>
      </w:r>
      <w:r>
        <w:rPr>
          <w:sz w:val="22"/>
        </w:rPr>
        <w:t>; or”</w:t>
      </w:r>
      <w:r>
        <w:br w:type="page"/>
      </w:r>
    </w:p>
    <w:p>
      <w:pPr>
        <w:pStyle w:val="Normal"/>
        <w:jc w:val="center"/>
        <w:rPr>
          <w:rFonts w:ascii="Arial" w:hAnsi="Arial" w:cs="Arial"/>
          <w:sz w:val="24"/>
        </w:rPr>
      </w:pPr>
      <w:r>
        <w:rPr>
          <w:rFonts w:cs="Arial" w:ascii="Arial" w:hAnsi="Arial"/>
          <w:sz w:val="24"/>
        </w:rPr>
        <w:t>Appendix “C”</w:t>
      </w:r>
    </w:p>
    <w:p>
      <w:pPr>
        <w:pStyle w:val="Normal"/>
        <w:jc w:val="center"/>
        <w:rPr>
          <w:rFonts w:ascii="Arial" w:hAnsi="Arial" w:cs="Arial"/>
          <w:sz w:val="24"/>
        </w:rPr>
      </w:pPr>
      <w:r>
        <w:rPr>
          <w:rFonts w:cs="Arial" w:ascii="Arial" w:hAnsi="Arial"/>
          <w:sz w:val="24"/>
        </w:rPr>
      </w:r>
    </w:p>
    <w:p>
      <w:pPr>
        <w:pStyle w:val="Heading1"/>
        <w:ind w:hanging="0" w:start="0"/>
        <w:jc w:val="center"/>
        <w:rPr>
          <w:sz w:val="24"/>
          <w:u w:val="single"/>
        </w:rPr>
      </w:pPr>
      <w:r>
        <w:rPr>
          <w:sz w:val="24"/>
          <w:u w:val="single"/>
        </w:rPr>
        <w:t>Outage Examples</w:t>
      </w:r>
    </w:p>
    <w:p>
      <w:pPr>
        <w:pStyle w:val="Normal"/>
        <w:rPr>
          <w:sz w:val="24"/>
          <w:u w:val="single"/>
        </w:rPr>
      </w:pPr>
      <w:r>
        <w:rPr>
          <w:sz w:val="24"/>
          <w:u w:val="single"/>
        </w:rPr>
      </w:r>
    </w:p>
    <w:p>
      <w:pPr>
        <w:pStyle w:val="BodyTextIndent"/>
        <w:numPr>
          <w:ilvl w:val="0"/>
          <w:numId w:val="8"/>
        </w:numPr>
        <w:tabs>
          <w:tab w:val="left" w:pos="720" w:leader="none"/>
        </w:tabs>
        <w:ind w:hanging="360" w:start="630" w:end="0"/>
        <w:rPr/>
      </w:pPr>
      <w:r>
        <w:rPr/>
        <w:t xml:space="preserve">     </w:t>
      </w:r>
      <w:r>
        <w:rPr/>
        <w:t>These three examples represent the calculation of the Net Loss that a PPA Buyer of each unit would have sustained during the HE 9 and 21 on a specified date (i.e. Sundance 2 on March 16, 2000) if it had sold power for these hours under a fixed price contract and the PPA Unit was unable to deliver.</w:t>
      </w:r>
    </w:p>
    <w:p>
      <w:pPr>
        <w:pStyle w:val="BodyTextIndent"/>
        <w:numPr>
          <w:ilvl w:val="0"/>
          <w:numId w:val="10"/>
        </w:numPr>
        <w:ind w:hanging="360" w:start="630" w:end="0"/>
        <w:rPr/>
      </w:pPr>
      <w:r>
        <w:rPr/>
        <w:t xml:space="preserve">     </w:t>
      </w:r>
      <w:r>
        <w:rPr/>
        <w:t>The three examples also represent the corresponding gain each PPA Owner would have received during the same period of outage assuming its Alberta electricity trading position was long 400 MW.</w:t>
      </w:r>
    </w:p>
    <w:p>
      <w:pPr>
        <w:pStyle w:val="Normal"/>
        <w:jc w:val="center"/>
        <w:rPr>
          <w:lang w:val="en-CA"/>
        </w:rPr>
      </w:pPr>
      <w:r>
        <w:rPr>
          <w:lang w:val="en-CA"/>
        </w:rPr>
        <w:object w:dxaOrig="8050" w:dyaOrig="525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0.8pt;margin-top:18.5pt;width:402.5pt;height:262.85pt;mso-wrap-distance-left:9.05pt;mso-wrap-distance-right:9.05pt;mso-position-horizontal-relative:text;mso-position-vertical-relative:text" filled="f" o:ole="">
            <v:imagedata r:id="rId3" o:title=""/>
            <w10:wrap type="topAndBottom"/>
          </v:shape>
          <o:OLEObject Type="Embed" ProgID="" ShapeID="ole_rId2" DrawAspect="Content" ObjectID="_142585725" r:id="rId2"/>
        </w:object>
      </w:r>
    </w:p>
    <w:p>
      <w:pPr>
        <w:pStyle w:val="Normal"/>
        <w:jc w:val="center"/>
        <w:rPr/>
      </w:pPr>
      <w:r>
        <w:rPr/>
      </w:r>
    </w:p>
    <w:sectPr>
      <w:headerReference w:type="default" r:id="rId4"/>
      <w:headerReference w:type="first" r:id="rId5"/>
      <w:footerReference w:type="default" r:id="rId6"/>
      <w:footerReference w:type="first" r:id="rId7"/>
      <w:type w:val="nextPage"/>
      <w:pgSz w:w="12240" w:h="15840"/>
      <w:pgMar w:left="1800" w:right="1800" w:gutter="0" w:header="720" w:top="216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PPA_Letter_to_Dr._West_042800__PS_Version_.doc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lang w:eastAsia="en-US"/>
      </w:rPr>
      <w:fldChar w:fldCharType="begin"/>
    </w:r>
    <w:r>
      <w:rPr>
        <w:sz w:val="16"/>
        <w:rFonts w:cs="Arial" w:ascii="Arial" w:hAnsi="Arial"/>
        <w:lang w:eastAsia="en-US"/>
      </w:rPr>
      <w:instrText xml:space="preserve"> FILENAME </w:instrText>
    </w:r>
    <w:r>
      <w:rPr>
        <w:sz w:val="16"/>
        <w:rFonts w:cs="Arial" w:ascii="Arial" w:hAnsi="Arial"/>
        <w:lang w:eastAsia="en-US"/>
      </w:rPr>
      <w:fldChar w:fldCharType="separate"/>
    </w:r>
    <w:r>
      <w:rPr>
        <w:sz w:val="16"/>
        <w:rFonts w:cs="Arial" w:ascii="Arial" w:hAnsi="Arial"/>
        <w:lang w:eastAsia="en-US"/>
      </w:rPr>
      <w:t>PPA_Letter_to_Dr._West_042800__PS_Version_.doc</w:t>
    </w:r>
    <w:r>
      <w:rPr>
        <w:sz w:val="16"/>
        <w:rFonts w:cs="Arial" w:ascii="Arial" w:hAnsi="Arial"/>
        <w:lang w:eastAsia="en-US"/>
      </w:rPr>
      <w:fldChar w:fldCharType="end"/>
    </w:r>
    <w:r>
      <w:rPr>
        <w:rFonts w:eastAsia="Arial" w:cs="Arial" w:ascii="Arial" w:hAnsi="Arial"/>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Fonts w:ascii="Arial" w:hAnsi="Arial" w:cs="Arial"/>
        <w:sz w:val="18"/>
      </w:rPr>
    </w:pPr>
    <w:r>
      <w:rPr>
        <w:rFonts w:cs="Arial" w:ascii="Arial" w:hAnsi="Arial"/>
        <w:sz w:val="18"/>
      </w:rPr>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14</w:t>
    </w:r>
    <w:r>
      <w:rPr>
        <w:rStyle w:val="PageNumber"/>
        <w:sz w:val="18"/>
        <w:rFonts w:cs="Arial" w:ascii="Arial" w:hAnsi="Arial"/>
      </w:rPr>
      <w:fldChar w:fldCharType="end"/>
    </w:r>
  </w:p>
  <w:p>
    <w:pPr>
      <w:pStyle w:val="Header"/>
      <w:jc w:val="end"/>
      <w:rPr>
        <w:rStyle w:val="PageNumber"/>
        <w:rFonts w:ascii="Arial" w:hAnsi="Arial" w:cs="Arial"/>
        <w:sz w:val="18"/>
      </w:rPr>
    </w:pPr>
    <w:r>
      <w:rPr/>
    </w:r>
  </w:p>
  <w:p>
    <w:pPr>
      <w:pStyle w:val="Header"/>
      <w:jc w:val="end"/>
      <w:rPr>
        <w:rStyle w:val="PageNumber"/>
        <w:rFonts w:ascii="Arial" w:hAnsi="Arial" w:cs="Arial"/>
        <w:sz w:val="18"/>
      </w:rPr>
    </w:pPr>
    <w:r>
      <w:rPr/>
    </w:r>
  </w:p>
  <w:p>
    <w:pPr>
      <w:pStyle w:val="Header"/>
      <w:jc w:val="end"/>
      <w:rPr>
        <w:rStyle w:val="PageNumber"/>
        <w:rFonts w:ascii="Arial" w:hAnsi="Arial" w:cs="Arial"/>
        <w:sz w:val="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lowerLetter"/>
      <w:lvlText w:val="(%1)"/>
      <w:lvlJc w:val="start"/>
      <w:pPr>
        <w:tabs>
          <w:tab w:val="num" w:pos="1080"/>
        </w:tabs>
        <w:ind w:start="1080" w:hanging="36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720"/>
        </w:tabs>
        <w:ind w:start="720" w:hanging="63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rFonts w:ascii="Arial" w:hAnsi="Arial" w:cs="Arial"/>
      <w:b/>
      <w:sz w:val="22"/>
    </w:rPr>
  </w:style>
  <w:style w:type="paragraph" w:styleId="Heading2">
    <w:name w:val="heading 2"/>
    <w:basedOn w:val="Normal"/>
    <w:next w:val="Normal"/>
    <w:qFormat/>
    <w:pPr>
      <w:keepNext w:val="true"/>
      <w:numPr>
        <w:ilvl w:val="1"/>
        <w:numId w:val="1"/>
      </w:numPr>
      <w:spacing w:lineRule="atLeast" w:line="240"/>
      <w:jc w:val="both"/>
      <w:outlineLvl w:val="1"/>
    </w:pPr>
    <w:rPr>
      <w:rFonts w:ascii="Arial" w:hAnsi="Arial" w:cs="Arial"/>
      <w:b/>
      <w:sz w:val="22"/>
    </w:rPr>
  </w:style>
  <w:style w:type="paragraph" w:styleId="Heading3">
    <w:name w:val="heading 3"/>
    <w:basedOn w:val="Normal"/>
    <w:next w:val="Normal"/>
    <w:qFormat/>
    <w:pPr>
      <w:keepNext w:val="true"/>
      <w:numPr>
        <w:ilvl w:val="2"/>
        <w:numId w:val="1"/>
      </w:numPr>
      <w:spacing w:lineRule="atLeast" w:line="240"/>
      <w:jc w:val="both"/>
      <w:outlineLvl w:val="2"/>
    </w:pPr>
    <w:rPr>
      <w:rFonts w:ascii="Arial" w:hAnsi="Arial" w:cs="Arial"/>
      <w:sz w:val="22"/>
      <w:u w:val="single"/>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u w:val="single"/>
    </w:rPr>
  </w:style>
  <w:style w:type="paragraph" w:styleId="BodyText">
    <w:name w:val="Body Text"/>
    <w:basedOn w:val="Normal"/>
    <w:pPr>
      <w:spacing w:lineRule="atLeast" w:line="240"/>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lineRule="atLeast" w:line="240"/>
      <w:ind w:hanging="0" w:start="720" w:end="720"/>
      <w:jc w:val="both"/>
    </w:pPr>
    <w:rPr>
      <w:rFonts w:ascii="Arial" w:hAnsi="Arial" w:cs="Arial"/>
      <w:sz w:val="22"/>
    </w:rPr>
  </w:style>
  <w:style w:type="paragraph" w:styleId="PlainText">
    <w:name w:val="Plain Text"/>
    <w:basedOn w:val="Normal"/>
    <w:qFormat/>
    <w:pPr/>
    <w:rPr>
      <w:rFonts w:ascii="Courier New" w:hAnsi="Courier New" w:cs="Courier New"/>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270" w:end="0"/>
    </w:pPr>
    <w:rPr/>
  </w:style>
  <w:style w:type="paragraph" w:styleId="BodyText2">
    <w:name w:val="Body Text 2"/>
    <w:basedOn w:val="Normal"/>
    <w:qFormat/>
    <w:pPr/>
    <w:rPr>
      <w:color w:val="000000"/>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2000-06-16T22:24:00Z</dcterms:created>
  <dc:creator>rhemsto</dc:creator>
  <dc:description/>
  <dc:language>en-CA</dc:language>
  <cp:lastModifiedBy>rhemsto</cp:lastModifiedBy>
  <cp:lastPrinted>2000-04-28T16:11:00Z</cp:lastPrinted>
  <dcterms:modified xsi:type="dcterms:W3CDTF">2000-06-16T22:24:00Z</dcterms:modified>
  <cp:revision>2</cp:revision>
  <dc:subject/>
  <dc:title>								December 15, 1997</dc:title>
</cp:coreProperties>
</file>