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08"/>
        <w:rPr>
          <w:lang w:val="en-CA"/>
        </w:rPr>
      </w:pPr>
      <w:r>
        <w:rPr>
          <w:lang w:val="en-CA"/>
        </w:rPr>
        <w:drawing>
          <wp:anchor behindDoc="0" distT="0" distB="0" distL="114935" distR="114935" simplePos="0" locked="0" layoutInCell="0" allowOverlap="1" relativeHeight="3">
            <wp:simplePos x="0" y="0"/>
            <wp:positionH relativeFrom="column">
              <wp:posOffset>45720</wp:posOffset>
            </wp:positionH>
            <wp:positionV relativeFrom="paragraph">
              <wp:posOffset>274320</wp:posOffset>
            </wp:positionV>
            <wp:extent cx="1188720" cy="1188720"/>
            <wp:effectExtent l="0" t="0" r="0" b="0"/>
            <wp:wrapTopAndBottom/>
            <wp:docPr id="1" name="E_Tri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Tricolor" descr="" title=""/>
                    <pic:cNvPicPr>
                      <a:picLocks noChangeAspect="1" noChangeArrowheads="1"/>
                    </pic:cNvPicPr>
                  </pic:nvPicPr>
                  <pic:blipFill>
                    <a:blip r:embed="rId2"/>
                    <a:srcRect l="-39" t="-39" r="-39" b="-39"/>
                    <a:stretch>
                      <a:fillRect/>
                    </a:stretch>
                  </pic:blipFill>
                  <pic:spPr bwMode="auto">
                    <a:xfrm>
                      <a:off x="0" y="0"/>
                      <a:ext cx="1188720" cy="1188720"/>
                    </a:xfrm>
                    <a:prstGeom prst="rect">
                      <a:avLst/>
                    </a:prstGeom>
                    <a:noFill/>
                  </pic:spPr>
                </pic:pic>
              </a:graphicData>
            </a:graphic>
          </wp:anchor>
        </w:drawing>
      </w:r>
    </w:p>
    <w:p>
      <w:pPr>
        <w:pStyle w:val="Normal"/>
        <w:rPr/>
      </w:pPr>
      <w:r>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4"/>
        </w:rPr>
      </w:pPr>
      <w:r>
        <w:rPr>
          <w:rFonts w:cs="Arial" w:ascii="Arial" w:hAnsi="Arial"/>
          <w:sz w:val="24"/>
        </w:rPr>
      </w:r>
    </w:p>
    <w:p>
      <w:pPr>
        <w:pStyle w:val="Heading4"/>
        <w:ind w:hanging="0" w:start="0"/>
        <w:rPr/>
      </w:pPr>
      <w:r>
        <w:rPr/>
        <w:t>May 19, 2000</w:t>
      </w:r>
    </w:p>
    <w:p>
      <w:pPr>
        <w:pStyle w:val="Normal"/>
        <w:jc w:val="end"/>
        <w:rPr>
          <w:rFonts w:ascii="Arial" w:hAnsi="Arial" w:cs="Arial"/>
          <w:sz w:val="24"/>
        </w:rPr>
      </w:pPr>
      <w:r>
        <w:rPr>
          <w:rFonts w:cs="Arial" w:ascii="Arial" w:hAnsi="Arial"/>
          <w:sz w:val="24"/>
        </w:rPr>
        <w:t>(Via Fax 780-427-8065)</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Mr. Larry Charach</w:t>
      </w:r>
    </w:p>
    <w:p>
      <w:pPr>
        <w:pStyle w:val="Normal"/>
        <w:rPr>
          <w:rFonts w:ascii="Arial" w:hAnsi="Arial" w:cs="Arial"/>
          <w:sz w:val="24"/>
        </w:rPr>
      </w:pPr>
      <w:r>
        <w:rPr>
          <w:rFonts w:cs="Arial" w:ascii="Arial" w:hAnsi="Arial"/>
          <w:sz w:val="24"/>
        </w:rPr>
        <w:t>Executive Director, Electricity</w:t>
      </w:r>
    </w:p>
    <w:p>
      <w:pPr>
        <w:pStyle w:val="Normal"/>
        <w:rPr>
          <w:rFonts w:ascii="Arial" w:hAnsi="Arial" w:cs="Arial"/>
          <w:sz w:val="24"/>
        </w:rPr>
      </w:pPr>
      <w:r>
        <w:rPr>
          <w:rFonts w:cs="Arial" w:ascii="Arial" w:hAnsi="Arial"/>
          <w:sz w:val="24"/>
        </w:rPr>
        <w:t>Department of Resource Development</w:t>
      </w:r>
    </w:p>
    <w:p>
      <w:pPr>
        <w:pStyle w:val="Normal"/>
        <w:rPr/>
      </w:pPr>
      <w:r>
        <w:rPr>
          <w:rFonts w:cs="Arial" w:ascii="Arial" w:hAnsi="Arial"/>
          <w:sz w:val="24"/>
        </w:rPr>
        <w:t>5</w:t>
      </w:r>
      <w:r>
        <w:rPr>
          <w:rFonts w:cs="Arial" w:ascii="Arial" w:hAnsi="Arial"/>
          <w:sz w:val="24"/>
          <w:vertAlign w:val="superscript"/>
        </w:rPr>
        <w:t>th</w:t>
      </w:r>
      <w:r>
        <w:rPr>
          <w:rFonts w:cs="Arial" w:ascii="Arial" w:hAnsi="Arial"/>
          <w:sz w:val="24"/>
        </w:rPr>
        <w:t xml:space="preserve"> Floor, Petroleum Plaza, North Tower</w:t>
      </w:r>
    </w:p>
    <w:p>
      <w:pPr>
        <w:pStyle w:val="Normal"/>
        <w:rPr>
          <w:rFonts w:ascii="Arial" w:hAnsi="Arial" w:cs="Arial"/>
          <w:sz w:val="24"/>
        </w:rPr>
      </w:pPr>
      <w:r>
        <w:rPr>
          <w:rFonts w:cs="Arial" w:ascii="Arial" w:hAnsi="Arial"/>
          <w:sz w:val="24"/>
        </w:rPr>
        <w:t>9945 – 108 Street</w:t>
      </w:r>
    </w:p>
    <w:p>
      <w:pPr>
        <w:pStyle w:val="Normal"/>
        <w:rPr>
          <w:rFonts w:ascii="Arial" w:hAnsi="Arial" w:cs="Arial"/>
          <w:sz w:val="24"/>
        </w:rPr>
      </w:pPr>
      <w:r>
        <w:rPr>
          <w:rFonts w:cs="Arial" w:ascii="Arial" w:hAnsi="Arial"/>
          <w:sz w:val="24"/>
        </w:rPr>
        <w:t>Edmonton, Alberta</w:t>
      </w:r>
    </w:p>
    <w:p>
      <w:pPr>
        <w:pStyle w:val="Normal"/>
        <w:rPr>
          <w:rFonts w:ascii="Arial" w:hAnsi="Arial" w:cs="Arial"/>
          <w:sz w:val="24"/>
        </w:rPr>
      </w:pPr>
      <w:r>
        <w:rPr>
          <w:rFonts w:cs="Arial" w:ascii="Arial" w:hAnsi="Arial"/>
          <w:sz w:val="24"/>
        </w:rPr>
        <w:t>T5K 2G6</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Dear Larry:</w:t>
      </w:r>
    </w:p>
    <w:p>
      <w:pPr>
        <w:pStyle w:val="Normal"/>
        <w:spacing w:lineRule="atLeast" w:line="240"/>
        <w:jc w:val="both"/>
        <w:rPr>
          <w:rFonts w:ascii="Arial" w:hAnsi="Arial" w:cs="Arial"/>
          <w:sz w:val="24"/>
        </w:rPr>
      </w:pPr>
      <w:r>
        <w:rPr>
          <w:rFonts w:cs="Arial" w:ascii="Arial" w:hAnsi="Arial"/>
          <w:sz w:val="24"/>
        </w:rPr>
      </w:r>
    </w:p>
    <w:p>
      <w:pPr>
        <w:pStyle w:val="Heading2"/>
        <w:ind w:hanging="0" w:start="0"/>
        <w:rPr>
          <w:sz w:val="24"/>
        </w:rPr>
      </w:pPr>
      <w:r>
        <w:rPr>
          <w:sz w:val="24"/>
        </w:rPr>
        <w:t>Re:</w:t>
        <w:tab/>
        <w:t>Letter from Enron Canada Corp. to Dr. West Dated April 28, 2000</w:t>
      </w:r>
    </w:p>
    <w:p>
      <w:pPr>
        <w:pStyle w:val="Normal"/>
        <w:spacing w:lineRule="atLeast" w:line="240"/>
        <w:jc w:val="both"/>
        <w:rPr>
          <w:rFonts w:ascii="Arial" w:hAnsi="Arial" w:cs="Arial"/>
          <w:sz w:val="24"/>
        </w:rPr>
      </w:pPr>
      <w:r>
        <w:rPr>
          <w:rFonts w:cs="Arial" w:ascii="Arial" w:hAnsi="Arial"/>
          <w:sz w:val="24"/>
        </w:rPr>
      </w:r>
    </w:p>
    <w:p>
      <w:pPr>
        <w:pStyle w:val="Normal"/>
        <w:spacing w:lineRule="atLeast" w:line="240"/>
        <w:jc w:val="both"/>
        <w:rPr>
          <w:rFonts w:ascii="Arial" w:hAnsi="Arial" w:cs="Arial"/>
          <w:sz w:val="24"/>
        </w:rPr>
      </w:pPr>
      <w:r>
        <w:rPr>
          <w:rFonts w:cs="Arial" w:ascii="Arial" w:hAnsi="Arial"/>
          <w:sz w:val="24"/>
        </w:rPr>
        <w:t>As I indicated in our recent telephone call, Enron has determined that the formulas in Appendix “C” to the letter dated April 28, 2000 regarding the Power Purchase Arrangement Auction sent by Enron to Minister West are incorrect.  In view of this, Enron has reviewed Appendix “C” to check that the data and formulas are correct and the assumptions contained therein are appropriate.  Attached is a Revised Appendix “C” that has resulted from this review.</w:t>
      </w:r>
    </w:p>
    <w:p>
      <w:pPr>
        <w:pStyle w:val="Normal"/>
        <w:spacing w:lineRule="atLeast" w:line="240"/>
        <w:jc w:val="both"/>
        <w:rPr>
          <w:rFonts w:ascii="Arial" w:hAnsi="Arial" w:cs="Arial"/>
          <w:sz w:val="24"/>
        </w:rPr>
      </w:pPr>
      <w:r>
        <w:rPr>
          <w:rFonts w:cs="Arial" w:ascii="Arial" w:hAnsi="Arial"/>
          <w:sz w:val="24"/>
        </w:rPr>
      </w:r>
    </w:p>
    <w:p>
      <w:pPr>
        <w:pStyle w:val="Normal"/>
        <w:spacing w:lineRule="atLeast" w:line="240"/>
        <w:jc w:val="both"/>
        <w:rPr>
          <w:rFonts w:ascii="Arial" w:hAnsi="Arial" w:cs="Arial"/>
          <w:sz w:val="24"/>
        </w:rPr>
      </w:pPr>
      <w:r>
        <w:rPr>
          <w:rFonts w:cs="Arial" w:ascii="Arial" w:hAnsi="Arial"/>
          <w:sz w:val="24"/>
        </w:rPr>
        <w:t xml:space="preserve">While it was necessary to prepare a Revised Appendix “C”, the revisions do not change the fundamental conclusion that the original Appendix “C” was intended to demonstrate.  This conclusion is that the financial penalties payable by a PPA Owner to a PPA Buyer in relation to a PPA plant outage can be significantly less than the incremental financial gain realized by a PPA Owner’s unregulated affiliate during the period of the PPA plant outage.  </w:t>
      </w:r>
    </w:p>
    <w:p>
      <w:pPr>
        <w:pStyle w:val="Normal"/>
        <w:spacing w:lineRule="atLeast" w:line="240"/>
        <w:jc w:val="both"/>
        <w:rPr>
          <w:rFonts w:ascii="Arial" w:hAnsi="Arial" w:cs="Arial"/>
          <w:sz w:val="24"/>
        </w:rPr>
      </w:pPr>
      <w:r>
        <w:rPr>
          <w:rFonts w:cs="Arial" w:ascii="Arial" w:hAnsi="Arial"/>
          <w:sz w:val="24"/>
        </w:rPr>
      </w:r>
    </w:p>
    <w:p>
      <w:pPr>
        <w:pStyle w:val="Normal"/>
        <w:spacing w:lineRule="atLeast" w:line="240"/>
        <w:jc w:val="both"/>
        <w:rPr>
          <w:rFonts w:ascii="Arial" w:hAnsi="Arial" w:cs="Arial"/>
          <w:sz w:val="24"/>
        </w:rPr>
      </w:pPr>
      <w:r>
        <w:rPr>
          <w:rFonts w:cs="Arial" w:ascii="Arial" w:hAnsi="Arial"/>
          <w:sz w:val="24"/>
        </w:rPr>
        <w:t>I will circulate this letter to those stakeholders to whom we provided a copy of the April 28, 2000 letter to Dr. West.  I would invite you to communicate the contents of the Revised Appendix “C” within the Department of Resource Development as you see fit.</w:t>
      </w:r>
    </w:p>
    <w:p>
      <w:pPr>
        <w:pStyle w:val="Normal"/>
        <w:spacing w:lineRule="atLeast" w:line="240"/>
        <w:jc w:val="both"/>
        <w:rPr>
          <w:rFonts w:ascii="Arial" w:hAnsi="Arial" w:cs="Arial"/>
          <w:sz w:val="24"/>
        </w:rPr>
      </w:pPr>
      <w:r>
        <w:rPr>
          <w:rFonts w:cs="Arial" w:ascii="Arial" w:hAnsi="Arial"/>
          <w:sz w:val="24"/>
        </w:rPr>
      </w:r>
    </w:p>
    <w:p>
      <w:pPr>
        <w:pStyle w:val="Normal"/>
        <w:spacing w:lineRule="atLeast" w:line="240"/>
        <w:jc w:val="both"/>
        <w:rPr>
          <w:rFonts w:ascii="Arial" w:hAnsi="Arial" w:cs="Arial"/>
          <w:sz w:val="24"/>
        </w:rPr>
      </w:pPr>
      <w:r>
        <w:rPr>
          <w:rFonts w:cs="Arial" w:ascii="Arial" w:hAnsi="Arial"/>
          <w:sz w:val="24"/>
        </w:rPr>
        <w:tab/>
        <w:tab/>
        <w:tab/>
        <w:tab/>
        <w:tab/>
        <w:tab/>
        <w:t>Yours truly,</w:t>
      </w:r>
    </w:p>
    <w:p>
      <w:pPr>
        <w:pStyle w:val="Normal"/>
        <w:spacing w:lineRule="atLeast" w:line="240"/>
        <w:jc w:val="both"/>
        <w:rPr>
          <w:rFonts w:ascii="Arial" w:hAnsi="Arial" w:cs="Arial"/>
          <w:sz w:val="24"/>
        </w:rPr>
      </w:pPr>
      <w:r>
        <w:rPr>
          <w:rFonts w:cs="Arial" w:ascii="Arial" w:hAnsi="Arial"/>
          <w:sz w:val="24"/>
        </w:rPr>
      </w:r>
    </w:p>
    <w:p>
      <w:pPr>
        <w:pStyle w:val="Normal"/>
        <w:spacing w:lineRule="atLeast" w:line="240"/>
        <w:jc w:val="both"/>
        <w:rPr>
          <w:rFonts w:ascii="Arial" w:hAnsi="Arial" w:cs="Arial"/>
          <w:sz w:val="24"/>
        </w:rPr>
      </w:pPr>
      <w:r>
        <w:rPr>
          <w:rFonts w:cs="Arial" w:ascii="Arial" w:hAnsi="Arial"/>
          <w:sz w:val="24"/>
        </w:rPr>
        <w:tab/>
        <w:tab/>
        <w:tab/>
        <w:tab/>
        <w:tab/>
        <w:tab/>
        <w:t>ENRON CANADA CORP.</w:t>
      </w:r>
    </w:p>
    <w:p>
      <w:pPr>
        <w:pStyle w:val="Normal"/>
        <w:spacing w:lineRule="atLeast" w:line="240"/>
        <w:jc w:val="both"/>
        <w:rPr>
          <w:rFonts w:ascii="Arial" w:hAnsi="Arial" w:cs="Arial"/>
          <w:sz w:val="24"/>
        </w:rPr>
      </w:pPr>
      <w:r>
        <w:rPr>
          <w:rFonts w:cs="Arial" w:ascii="Arial" w:hAnsi="Arial"/>
          <w:sz w:val="24"/>
        </w:rPr>
      </w:r>
    </w:p>
    <w:p>
      <w:pPr>
        <w:pStyle w:val="Normal"/>
        <w:spacing w:lineRule="atLeast" w:line="240"/>
        <w:jc w:val="both"/>
        <w:rPr>
          <w:rFonts w:ascii="Arial" w:hAnsi="Arial" w:cs="Arial"/>
          <w:sz w:val="24"/>
        </w:rPr>
      </w:pPr>
      <w:r>
        <w:rPr>
          <w:rFonts w:cs="Arial" w:ascii="Arial" w:hAnsi="Arial"/>
          <w:sz w:val="24"/>
        </w:rPr>
        <w:tab/>
        <w:tab/>
        <w:tab/>
        <w:tab/>
        <w:tab/>
        <w:tab/>
        <w:t>(Original signed)</w:t>
      </w:r>
    </w:p>
    <w:p>
      <w:pPr>
        <w:pStyle w:val="Normal"/>
        <w:spacing w:lineRule="atLeast" w:line="240"/>
        <w:jc w:val="both"/>
        <w:rPr>
          <w:rFonts w:ascii="Arial" w:hAnsi="Arial" w:cs="Arial"/>
          <w:sz w:val="24"/>
        </w:rPr>
      </w:pPr>
      <w:r>
        <w:rPr>
          <w:rFonts w:cs="Arial" w:ascii="Arial" w:hAnsi="Arial"/>
          <w:sz w:val="24"/>
        </w:rPr>
      </w:r>
    </w:p>
    <w:p>
      <w:pPr>
        <w:pStyle w:val="Normal"/>
        <w:spacing w:lineRule="atLeast" w:line="240"/>
        <w:jc w:val="both"/>
        <w:rPr>
          <w:rFonts w:ascii="Arial" w:hAnsi="Arial" w:cs="Arial"/>
          <w:sz w:val="24"/>
        </w:rPr>
      </w:pPr>
      <w:r>
        <w:rPr>
          <w:rFonts w:cs="Arial" w:ascii="Arial" w:hAnsi="Arial"/>
          <w:sz w:val="24"/>
        </w:rPr>
        <w:tab/>
        <w:tab/>
        <w:tab/>
        <w:tab/>
        <w:tab/>
        <w:tab/>
        <w:t>Robert Hemstock</w:t>
      </w:r>
    </w:p>
    <w:p>
      <w:pPr>
        <w:pStyle w:val="Normal"/>
        <w:spacing w:lineRule="atLeast" w:line="240"/>
        <w:jc w:val="both"/>
        <w:rPr>
          <w:rFonts w:ascii="Arial" w:hAnsi="Arial" w:cs="Arial"/>
          <w:sz w:val="24"/>
        </w:rPr>
      </w:pPr>
      <w:r>
        <w:rPr>
          <w:rFonts w:cs="Arial" w:ascii="Arial" w:hAnsi="Arial"/>
          <w:sz w:val="24"/>
        </w:rPr>
        <w:tab/>
        <w:tab/>
        <w:tab/>
        <w:tab/>
        <w:tab/>
        <w:tab/>
        <w:t>Director, Government Affairs</w:t>
      </w:r>
    </w:p>
    <w:p>
      <w:pPr>
        <w:pStyle w:val="Normal"/>
        <w:spacing w:lineRule="atLeast" w:line="240"/>
        <w:jc w:val="both"/>
        <w:rPr>
          <w:rFonts w:ascii="Arial" w:hAnsi="Arial" w:cs="Arial"/>
          <w:sz w:val="24"/>
        </w:rPr>
      </w:pPr>
      <w:r>
        <w:rPr>
          <w:rFonts w:cs="Arial" w:ascii="Arial" w:hAnsi="Arial"/>
          <w:sz w:val="24"/>
        </w:rPr>
      </w:r>
    </w:p>
    <w:p>
      <w:pPr>
        <w:pStyle w:val="Normal"/>
        <w:spacing w:lineRule="atLeast" w:line="240"/>
        <w:jc w:val="both"/>
        <w:rPr>
          <w:rFonts w:ascii="Arial" w:hAnsi="Arial" w:cs="Arial"/>
          <w:sz w:val="24"/>
        </w:rPr>
      </w:pPr>
      <w:r>
        <w:rPr>
          <w:rFonts w:cs="Arial" w:ascii="Arial" w:hAnsi="Arial"/>
          <w:sz w:val="24"/>
        </w:rPr>
        <w:t>RH/ls</w:t>
      </w:r>
    </w:p>
    <w:p>
      <w:pPr>
        <w:pStyle w:val="Normal"/>
        <w:spacing w:lineRule="atLeast" w:line="240"/>
        <w:jc w:val="both"/>
        <w:rPr>
          <w:rFonts w:ascii="Arial" w:hAnsi="Arial" w:cs="Arial"/>
          <w:sz w:val="24"/>
        </w:rPr>
      </w:pPr>
      <w:r>
        <w:rPr>
          <w:rFonts w:cs="Arial" w:ascii="Arial" w:hAnsi="Arial"/>
          <w:sz w:val="24"/>
        </w:rPr>
      </w:r>
    </w:p>
    <w:p>
      <w:pPr>
        <w:pStyle w:val="Normal"/>
        <w:spacing w:lineRule="atLeast" w:line="240"/>
        <w:jc w:val="both"/>
        <w:rPr>
          <w:rFonts w:ascii="Arial" w:hAnsi="Arial" w:cs="Arial"/>
          <w:sz w:val="24"/>
        </w:rPr>
      </w:pPr>
      <w:r>
        <w:rPr>
          <w:rFonts w:cs="Arial" w:ascii="Arial" w:hAnsi="Arial"/>
          <w:sz w:val="24"/>
        </w:rPr>
        <w:t>Attachment</w:t>
      </w:r>
    </w:p>
    <w:p>
      <w:pPr>
        <w:pStyle w:val="Normal"/>
        <w:spacing w:lineRule="atLeast" w:line="240"/>
        <w:jc w:val="both"/>
        <w:rPr>
          <w:rFonts w:ascii="Arial" w:hAnsi="Arial" w:cs="Arial"/>
          <w:sz w:val="24"/>
        </w:rPr>
      </w:pPr>
      <w:r>
        <w:rPr>
          <w:rFonts w:cs="Arial" w:ascii="Arial" w:hAnsi="Arial"/>
          <w:sz w:val="24"/>
        </w:rPr>
      </w:r>
    </w:p>
    <w:p>
      <w:pPr>
        <w:pStyle w:val="Normal"/>
        <w:spacing w:lineRule="atLeast" w:line="240"/>
        <w:jc w:val="both"/>
        <w:rPr>
          <w:rFonts w:ascii="Arial" w:hAnsi="Arial" w:cs="Arial"/>
          <w:sz w:val="24"/>
        </w:rPr>
      </w:pPr>
      <w:r>
        <w:rPr>
          <w:rFonts w:cs="Arial" w:ascii="Arial" w:hAnsi="Arial"/>
          <w:sz w:val="24"/>
        </w:rPr>
        <w:t>c:</w:t>
        <w:tab/>
        <w:t>P. R. Milnthorp</w:t>
      </w:r>
    </w:p>
    <w:p>
      <w:pPr>
        <w:pStyle w:val="Normal"/>
        <w:spacing w:lineRule="atLeast" w:line="240"/>
        <w:jc w:val="both"/>
        <w:rPr>
          <w:rFonts w:ascii="Arial" w:hAnsi="Arial" w:cs="Arial"/>
          <w:sz w:val="24"/>
        </w:rPr>
      </w:pPr>
      <w:r>
        <w:rPr>
          <w:rFonts w:cs="Arial" w:ascii="Arial" w:hAnsi="Arial"/>
          <w:sz w:val="24"/>
        </w:rPr>
        <w:tab/>
        <w:t>President and CEO, Enron Canada Corp.</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ab/>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r>
      <w:r>
        <w:br w:type="page"/>
      </w:r>
    </w:p>
    <w:p>
      <w:pPr>
        <w:pStyle w:val="Heading1"/>
        <w:ind w:hanging="0" w:start="0"/>
        <w:jc w:val="center"/>
        <w:rPr>
          <w:sz w:val="24"/>
          <w:u w:val="single"/>
        </w:rPr>
      </w:pPr>
      <w:r>
        <w:rPr>
          <w:sz w:val="24"/>
          <w:u w:val="single"/>
        </w:rPr>
        <w:t>Revised Appendix “C”</w:t>
      </w:r>
    </w:p>
    <w:p>
      <w:pPr>
        <w:pStyle w:val="Heading1"/>
        <w:ind w:hanging="0" w:start="0"/>
        <w:jc w:val="center"/>
        <w:rPr>
          <w:sz w:val="24"/>
          <w:u w:val="single"/>
        </w:rPr>
      </w:pPr>
      <w:r>
        <w:rPr>
          <w:sz w:val="24"/>
          <w:u w:val="single"/>
        </w:rPr>
        <w:t>Outage Examples</w:t>
      </w:r>
    </w:p>
    <w:p>
      <w:pPr>
        <w:pStyle w:val="Normal"/>
        <w:rPr>
          <w:sz w:val="24"/>
          <w:u w:val="single"/>
        </w:rPr>
      </w:pPr>
      <w:r>
        <w:rPr>
          <w:sz w:val="24"/>
          <w:u w:val="single"/>
        </w:rPr>
      </w:r>
    </w:p>
    <w:p>
      <w:pPr>
        <w:pStyle w:val="BodyTextIndent"/>
        <w:numPr>
          <w:ilvl w:val="0"/>
          <w:numId w:val="2"/>
        </w:numPr>
        <w:rPr/>
      </w:pPr>
      <w:r>
        <w:rPr/>
        <w:t xml:space="preserve">These three examples represent the calculation of the Net Loss that a PPA Buyer of each unit would have sustained during the HE 8 and 21 on three specified dates (Sundance 2 on March 16, 2000; Wabamun 4 on March 13, 2000; and Battle River 5 on March 21, 2000) if the PPA Buyer had sold power for these hours under a fixed price contract and the PPA Unit was unable to deliver.  Having sold fixed price power, the Buyer would be forced into the market to purchase replacement power and would receive the Availability Incentive Penalty (AIP) as only partial compensation for its loss.  </w:t>
      </w:r>
    </w:p>
    <w:p>
      <w:pPr>
        <w:pStyle w:val="BodyTextIndent"/>
        <w:numPr>
          <w:ilvl w:val="0"/>
          <w:numId w:val="3"/>
        </w:numPr>
        <w:rPr>
          <w:color w:val="000000"/>
          <w:lang w:eastAsia="en-US"/>
        </w:rPr>
      </w:pPr>
      <w:r>
        <w:object w:dxaOrig="8630" w:dyaOrig="442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0pt;margin-top:52.4pt;width:431.5pt;height:221pt;mso-wrap-distance-left:9.05pt;mso-wrap-distance-right:9.05pt;mso-position-horizontal-relative:text;mso-position-vertical-relative:text" filled="f" o:ole="">
            <v:imagedata r:id="rId4" o:title=""/>
            <w10:wrap type="topAndBottom"/>
          </v:shape>
          <o:OLEObject Type="Embed" ProgID="" ShapeID="ole_rId3" DrawAspect="Content" ObjectID="_1737468256" r:id="rId3"/>
        </w:object>
      </w:r>
      <w:r>
        <w:rPr/>
        <w:t>Two of the three examples also represent an estimation of the corresponding gain each PPA Owner would have received during the same outage period assuming its Alberta electricity trading position was long 400 MW. The c</w:t>
      </w:r>
      <w:r>
        <w:rPr>
          <w:color w:val="000000"/>
          <w:lang w:eastAsia="en-US"/>
        </w:rPr>
        <w:t>ost of acquiring the long position was not included, as it was assumed that whether or not there was an outage, it was incurred, and thus was considered to be a sunk cost.</w:t>
      </w:r>
    </w:p>
    <w:p>
      <w:pPr>
        <w:pStyle w:val="Normal"/>
        <w:rPr>
          <w:color w:val="000000"/>
          <w:lang w:eastAsia="en-US"/>
        </w:rPr>
      </w:pPr>
      <w:r>
        <w:rPr>
          <w:color w:val="000000"/>
          <w:lang w:eastAsia="en-US"/>
        </w:rPr>
      </w:r>
    </w:p>
    <w:p>
      <w:pPr>
        <w:pStyle w:val="Normal"/>
        <w:rPr>
          <w:color w:val="000000"/>
          <w:lang w:eastAsia="en-US"/>
        </w:rPr>
      </w:pPr>
      <w:r>
        <w:rPr>
          <w:color w:val="000000"/>
          <w:lang w:eastAsia="en-US"/>
        </w:rPr>
        <w:t>* 30 Day Rolling Peak Average Price was calculated using the last 30 calendar days. 30 Day Rolling Peak Avg. Price was used as a proxy for the Power Pool Price had there not been an outage.</w:t>
      </w:r>
    </w:p>
    <w:p>
      <w:pPr>
        <w:pStyle w:val="Normal"/>
        <w:rPr>
          <w:color w:val="000000"/>
          <w:lang w:eastAsia="en-US"/>
        </w:rPr>
      </w:pPr>
      <w:r>
        <w:rPr>
          <w:color w:val="000000"/>
          <w:lang w:eastAsia="en-US"/>
        </w:rPr>
        <w:t xml:space="preserve">** Peak Hours HE 8 to 21 MT </w:t>
      </w:r>
    </w:p>
    <w:p>
      <w:pPr>
        <w:pStyle w:val="Normal"/>
        <w:rPr>
          <w:color w:val="000000"/>
          <w:lang w:eastAsia="en-US"/>
        </w:rPr>
      </w:pPr>
      <w:r>
        <w:rPr>
          <w:color w:val="000000"/>
          <w:lang w:eastAsia="en-US"/>
        </w:rPr>
        <w:t xml:space="preserve">*** AIP from Owner to Buyer =[(Target Availability - Actual Availability) * (Number of Peak Hours) * (30 Day Rolling Avg. Price - Energy Payment)] </w:t>
      </w:r>
    </w:p>
    <w:p>
      <w:pPr>
        <w:pStyle w:val="Normal"/>
        <w:rPr>
          <w:color w:val="000000"/>
          <w:lang w:eastAsia="en-US"/>
        </w:rPr>
      </w:pPr>
      <w:r>
        <w:rPr>
          <w:color w:val="000000"/>
          <w:lang w:eastAsia="en-US"/>
        </w:rPr>
        <w:t>**** Buyer’s Replacement Cost at Market =  [(Target Availability - Actual Availability) * (Replacement Cost at Peak Avg. Price) * (Number Of Peak Hours)]</w:t>
      </w:r>
    </w:p>
    <w:p>
      <w:pPr>
        <w:pStyle w:val="Normal"/>
        <w:rPr>
          <w:color w:val="000000"/>
          <w:lang w:eastAsia="en-US"/>
        </w:rPr>
      </w:pPr>
      <w:r>
        <w:rPr>
          <w:color w:val="000000"/>
          <w:lang w:eastAsia="en-US"/>
        </w:rPr>
        <w:t>^ Net PPA Buyer Loss = AIP from Owner to Buyer - Buyer’s Replacement Cost at Market</w:t>
      </w:r>
    </w:p>
    <w:p>
      <w:pPr>
        <w:pStyle w:val="Normal"/>
        <w:rPr/>
      </w:pPr>
      <w:r>
        <w:rPr>
          <w:color w:val="000000"/>
          <w:lang w:eastAsia="en-US"/>
        </w:rPr>
        <w:t>^^ Owner’s Gain on Long Position = [(Total Long Position) * (</w:t>
      </w:r>
      <w:r>
        <w:rPr/>
        <w:t>Replacement Cost at Peak Avg. Price)</w:t>
      </w:r>
      <w:r>
        <w:rPr>
          <w:color w:val="000000"/>
          <w:lang w:eastAsia="en-US"/>
        </w:rPr>
        <w:t xml:space="preserve"> - 30 Day Rolling Avg. Price) * (Number of Peak Hours)] </w:t>
      </w:r>
    </w:p>
    <w:p>
      <w:pPr>
        <w:pStyle w:val="Normal"/>
        <w:rPr>
          <w:color w:val="000000"/>
          <w:lang w:eastAsia="en-US"/>
        </w:rPr>
      </w:pPr>
      <w:r>
        <w:rPr>
          <w:color w:val="000000"/>
          <w:lang w:eastAsia="en-US"/>
        </w:rPr>
        <w:t>^^^ Net PPA Owner Gain = Owner’s Gain on Long Position - AIP from Owner to Buyer</w:t>
      </w:r>
    </w:p>
    <w:p>
      <w:pPr>
        <w:pStyle w:val="Normal"/>
        <w:rPr>
          <w:color w:val="000000"/>
          <w:lang w:eastAsia="en-US"/>
        </w:rPr>
      </w:pPr>
      <w:r>
        <w:rPr>
          <w:color w:val="000000"/>
          <w:lang w:eastAsia="en-US"/>
        </w:rPr>
      </w:r>
    </w:p>
    <w:p>
      <w:pPr>
        <w:pStyle w:val="Normal"/>
        <w:rPr/>
      </w:pPr>
      <w:r>
        <w:rPr/>
      </w:r>
    </w:p>
    <w:p>
      <w:pPr>
        <w:pStyle w:val="Normal"/>
        <w:jc w:val="center"/>
        <w:rPr/>
      </w:pPr>
      <w:r>
        <w:rPr/>
      </w:r>
    </w:p>
    <w:sectPr>
      <w:headerReference w:type="default" r:id="rId5"/>
      <w:headerReference w:type="first" r:id="rId6"/>
      <w:footerReference w:type="default" r:id="rId7"/>
      <w:footerReference w:type="first" r:id="rId8"/>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PPA_Letter_to_Charach_051900.doc</w:t>
    </w:r>
    <w:r>
      <w:rPr>
        <w:sz w:val="16"/>
        <w:lang w:eastAsia="en-US"/>
      </w:rPr>
      <w:fldChar w:fldCharType="end"/>
    </w:r>
    <w:r>
      <w:rPr>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lang w:eastAsia="en-US"/>
      </w:rPr>
      <w:fldChar w:fldCharType="begin"/>
    </w:r>
    <w:r>
      <w:rPr>
        <w:sz w:val="16"/>
        <w:rFonts w:cs="Arial" w:ascii="Arial" w:hAnsi="Arial"/>
        <w:lang w:eastAsia="en-US"/>
      </w:rPr>
      <w:instrText xml:space="preserve"> FILENAME </w:instrText>
    </w:r>
    <w:r>
      <w:rPr>
        <w:sz w:val="16"/>
        <w:rFonts w:cs="Arial" w:ascii="Arial" w:hAnsi="Arial"/>
        <w:lang w:eastAsia="en-US"/>
      </w:rPr>
      <w:fldChar w:fldCharType="separate"/>
    </w:r>
    <w:r>
      <w:rPr>
        <w:sz w:val="16"/>
        <w:rFonts w:cs="Arial" w:ascii="Arial" w:hAnsi="Arial"/>
        <w:lang w:eastAsia="en-US"/>
      </w:rPr>
      <w:t>PPA_Letter_to_Charach_051900.doc</w:t>
    </w:r>
    <w:r>
      <w:rPr>
        <w:sz w:val="16"/>
        <w:rFonts w:cs="Arial" w:ascii="Arial" w:hAnsi="Arial"/>
        <w:lang w:eastAsia="en-US"/>
      </w:rPr>
      <w:fldChar w:fldCharType="end"/>
    </w:r>
    <w:r>
      <w:rPr>
        <w:rFonts w:eastAsia="Arial" w:cs="Arial" w:ascii="Arial" w:hAnsi="Arial"/>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Fonts w:ascii="Arial" w:hAnsi="Arial" w:cs="Arial"/>
        <w:sz w:val="18"/>
      </w:rPr>
    </w:pPr>
    <w:r>
      <w:rPr>
        <w:rFonts w:cs="Arial" w:ascii="Arial" w:hAnsi="Arial"/>
        <w:sz w:val="18"/>
      </w:rPr>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rFonts w:ascii="Arial" w:hAnsi="Arial" w:cs="Arial"/>
      <w:b/>
      <w:sz w:val="22"/>
    </w:rPr>
  </w:style>
  <w:style w:type="paragraph" w:styleId="Heading2">
    <w:name w:val="heading 2"/>
    <w:basedOn w:val="Normal"/>
    <w:next w:val="Normal"/>
    <w:qFormat/>
    <w:pPr>
      <w:keepNext w:val="true"/>
      <w:numPr>
        <w:ilvl w:val="1"/>
        <w:numId w:val="1"/>
      </w:numPr>
      <w:spacing w:lineRule="atLeast" w:line="240"/>
      <w:jc w:val="both"/>
      <w:outlineLvl w:val="1"/>
    </w:pPr>
    <w:rPr>
      <w:rFonts w:ascii="Arial" w:hAnsi="Arial" w:cs="Arial"/>
      <w:b/>
      <w:sz w:val="22"/>
    </w:rPr>
  </w:style>
  <w:style w:type="paragraph" w:styleId="Heading3">
    <w:name w:val="heading 3"/>
    <w:basedOn w:val="Normal"/>
    <w:next w:val="Normal"/>
    <w:qFormat/>
    <w:pPr>
      <w:keepNext w:val="true"/>
      <w:numPr>
        <w:ilvl w:val="2"/>
        <w:numId w:val="1"/>
      </w:numPr>
      <w:spacing w:lineRule="atLeast" w:line="240"/>
      <w:jc w:val="both"/>
      <w:outlineLvl w:val="2"/>
    </w:pPr>
    <w:rPr>
      <w:rFonts w:ascii="Arial" w:hAnsi="Arial" w:cs="Arial"/>
      <w:sz w:val="22"/>
      <w:u w:val="single"/>
    </w:rPr>
  </w:style>
  <w:style w:type="paragraph" w:styleId="Heading4">
    <w:name w:val="heading 4"/>
    <w:basedOn w:val="Normal"/>
    <w:next w:val="Normal"/>
    <w:qFormat/>
    <w:pPr>
      <w:keepNext w:val="true"/>
      <w:numPr>
        <w:ilvl w:val="3"/>
        <w:numId w:val="1"/>
      </w:numPr>
      <w:jc w:val="end"/>
      <w:outlineLvl w:val="3"/>
    </w:pPr>
    <w:rPr>
      <w:rFonts w:ascii="Arial" w:hAnsi="Arial" w:cs="Arial"/>
      <w:sz w:val="24"/>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u w:val="single"/>
    </w:rPr>
  </w:style>
  <w:style w:type="paragraph" w:styleId="BodyText">
    <w:name w:val="Body Text"/>
    <w:basedOn w:val="Normal"/>
    <w:pPr>
      <w:spacing w:lineRule="atLeast" w:line="240"/>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lineRule="atLeast" w:line="240"/>
      <w:ind w:hanging="0" w:start="720" w:end="720"/>
      <w:jc w:val="both"/>
    </w:pPr>
    <w:rPr>
      <w:rFonts w:ascii="Arial" w:hAnsi="Arial" w:cs="Arial"/>
      <w:sz w:val="22"/>
    </w:rPr>
  </w:style>
  <w:style w:type="paragraph" w:styleId="PlainText">
    <w:name w:val="Plain Text"/>
    <w:basedOn w:val="Normal"/>
    <w:qFormat/>
    <w:pPr/>
    <w:rPr>
      <w:rFonts w:ascii="Courier New" w:hAnsi="Courier New" w:cs="Courier New"/>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270" w:end="0"/>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2000-05-19T20:29:00Z</dcterms:created>
  <dc:creator>rhemsto</dc:creator>
  <dc:description/>
  <dc:language>en-CA</dc:language>
  <cp:lastModifiedBy>ECT</cp:lastModifiedBy>
  <cp:lastPrinted>2000-05-19T17:09:00Z</cp:lastPrinted>
  <dcterms:modified xsi:type="dcterms:W3CDTF">2000-05-19T20:42:00Z</dcterms:modified>
  <cp:revision>4</cp:revision>
  <dc:subject/>
  <dc:title>								December 15, 1997</dc:title>
</cp:coreProperties>
</file>