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spacing w:before="240" w:after="0"/>
        <w:jc w:val="center"/>
        <w:rPr/>
      </w:pPr>
      <w:r>
        <w:rPr/>
        <w:t>GUARANTY</w:t>
        <w:br/>
        <w:t>(RENEWABLE ENERGY PURCHASE AGREEMENT)</w:t>
      </w:r>
    </w:p>
    <w:p>
      <w:pPr>
        <w:pStyle w:val="BodyText"/>
        <w:spacing w:before="480" w:after="0"/>
        <w:rPr/>
      </w:pPr>
      <w:r>
        <w:rPr/>
        <w:t>This GUARANTY ("</w:t>
      </w:r>
      <w:r>
        <w:rPr>
          <w:u w:val="single"/>
        </w:rPr>
        <w:t>Guaranty</w:t>
      </w:r>
      <w:r>
        <w:rPr/>
        <w:t>") is dated as of November __, 2000, and is given by ENRON CORP., an [Oregon] corporation (the "</w:t>
      </w:r>
      <w:r>
        <w:rPr>
          <w:u w:val="single"/>
        </w:rPr>
        <w:t>Guarantor</w:t>
      </w:r>
      <w:r>
        <w:rPr/>
        <w:t>"), in favor of INDIAN MESA POWER PARTNERS II L.P., a Delaware limited partnership ("</w:t>
      </w:r>
      <w:r>
        <w:rPr>
          <w:u w:val="single"/>
        </w:rPr>
        <w:t>Seller</w:t>
      </w:r>
      <w:r>
        <w:rPr/>
        <w:t xml:space="preserve">"). </w:t>
      </w:r>
    </w:p>
    <w:p>
      <w:pPr>
        <w:pStyle w:val="Recital"/>
        <w:rPr/>
      </w:pPr>
      <w:r>
        <w:rPr/>
        <w:t>RECITALS</w:t>
      </w:r>
    </w:p>
    <w:p>
      <w:pPr>
        <w:pStyle w:val="BodyText"/>
        <w:rPr/>
      </w:pPr>
      <w:r>
        <w:rPr/>
        <w:t>WHEREAS, Seller and Enron Power Marketing, Inc., a Delaware corporation ("</w:t>
      </w:r>
      <w:r>
        <w:rPr>
          <w:u w:val="single"/>
        </w:rPr>
        <w:t>Purchaser</w:t>
      </w:r>
      <w:r>
        <w:rPr/>
        <w:t>") and an affiliate of the Guarantor, are parties to the Renewable Energy Purchase Agreement dated as of even date herewith (as amended, modified and supplemented from time to time, the "</w:t>
      </w:r>
      <w:r>
        <w:rPr>
          <w:u w:val="single"/>
        </w:rPr>
        <w:t>Agreement</w:t>
      </w:r>
      <w:r>
        <w:rPr/>
        <w:t>");</w:t>
      </w:r>
    </w:p>
    <w:p>
      <w:pPr>
        <w:pStyle w:val="BodyText"/>
        <w:rPr/>
      </w:pPr>
      <w:r>
        <w:rPr/>
        <w:t xml:space="preserve">WHEREAS, pursuant to Section 7.01(b) of the Agreement, Purchaser shall cause Guarantor to deliver, and maintain in effect continuously thereafter until it is released by Seller, a guaranty in form and substance satisfactory to Seller; </w:t>
      </w:r>
    </w:p>
    <w:p>
      <w:pPr>
        <w:pStyle w:val="BodyText"/>
        <w:rPr/>
      </w:pPr>
      <w:r>
        <w:rPr/>
        <w:t xml:space="preserve">WHEREAS, by accepting the execution and delivery by the Guarantor of this Guaranty Seller agrees that this Guaranty is in form and substance satisfactory to Seller; and </w:t>
      </w:r>
    </w:p>
    <w:p>
      <w:pPr>
        <w:pStyle w:val="BodyText"/>
        <w:rPr/>
      </w:pPr>
      <w:r>
        <w:rPr/>
        <w:t>WHEREAS, the guaranties provided in this Guaranty reasonably may be expected to benefit, directly or indirectly, the Guarantor;</w:t>
      </w:r>
    </w:p>
    <w:p>
      <w:pPr>
        <w:pStyle w:val="BodyText"/>
        <w:rPr/>
      </w:pPr>
      <w:r>
        <w:rPr/>
        <w:t xml:space="preserve">NOW, THEREFORE, in consideration of the foregoing, the Guarantor hereby agrees as follows: </w:t>
      </w:r>
    </w:p>
    <w:p>
      <w:pPr>
        <w:pStyle w:val="Pleading1L1"/>
        <w:keepNext w:val="true"/>
        <w:numPr>
          <w:ilvl w:val="0"/>
          <w:numId w:val="2"/>
        </w:numPr>
        <w:ind w:hanging="0" w:start="0"/>
        <w:rPr>
          <w:vanish/>
          <w:color w:val="FF0000"/>
        </w:rPr>
      </w:pPr>
      <w:r>
        <w:rPr/>
        <w:t>Guaranty</w:t>
      </w:r>
    </w:p>
    <w:p>
      <w:pPr>
        <w:pStyle w:val="BodyText"/>
        <w:keepNext w:val="true"/>
        <w:rPr/>
      </w:pPr>
      <w:r>
        <w:rPr/>
        <w:t xml:space="preserve">.  </w:t>
        <w:tab/>
      </w:r>
    </w:p>
    <w:p>
      <w:pPr>
        <w:pStyle w:val="Pleading1L2"/>
        <w:numPr>
          <w:ilvl w:val="1"/>
          <w:numId w:val="2"/>
        </w:numPr>
        <w:ind w:hanging="0" w:start="0"/>
        <w:rPr/>
      </w:pPr>
      <w:r>
        <w:rPr/>
        <w:t>The Guarantor hereby unconditionally and irrevocably guarantees to Seller, upon ten (10) Banking Days' written notice by Seller, satisfaction when due of the obligations of Purchaser under the Agreement (the "</w:t>
      </w:r>
      <w:r>
        <w:rPr>
          <w:u w:val="single"/>
        </w:rPr>
        <w:t>Guaranteed Obligations</w:t>
      </w:r>
      <w:r>
        <w:rPr/>
        <w:t xml:space="preserve">"); </w:t>
      </w:r>
      <w:r>
        <w:rPr>
          <w:u w:val="single"/>
        </w:rPr>
        <w:t>provided</w:t>
      </w:r>
      <w:r>
        <w:rPr/>
        <w:t xml:space="preserve"> that, except as otherwise indicated in </w:t>
      </w:r>
      <w:r>
        <w:rPr>
          <w:u w:val="single"/>
        </w:rPr>
        <w:t>Section 14</w:t>
      </w:r>
      <w:r>
        <w:rPr/>
        <w:t xml:space="preserve"> hereof, in no event shall the Guarantor’s obligations hereunder with respect to the Guaranteed Obligations at any time exceed the Guaranteed Amount (as defined below) at such time.  In no event shall Guarantor be subject hereunder to punitive, consequential, special, incidental or indirect losses or damages of any nature whatsoever, including, but not limited to, loss of profits, whether arising under the law of contracts, torts (including, without limitation, negligence of every kind and strict liability, without fault), or property, or at common law or in equity in respect of the Guaranteed Obligations.  The Guarantor agrees that, notwithstanding any stay, injunction or other prohibition preventing the payment of all or any portion of the Guaranteed Obligations, by any party other than the Guarantor, such Guaranteed Obligations (whether or not then due and payable by the Guarantor) shall nevertheless become due and payable by the Guarantor for the purposes of this Guaranty upon the occurrence of any event or condition giving rise to the obligation of the Guarantor to pay such Guaranteed Obligations.  The liability of the Guarantor under this Guaranty is a guaranty of payment and not of collection.  The liability of the Guarantor under this Guaranty is a direct obligation and is not contingent upon any action or inaction by Purchaser or any other party.  </w:t>
      </w:r>
    </w:p>
    <w:p>
      <w:pPr>
        <w:pStyle w:val="Pleading1L2"/>
        <w:numPr>
          <w:ilvl w:val="1"/>
          <w:numId w:val="2"/>
        </w:numPr>
        <w:ind w:hanging="0" w:start="0"/>
        <w:rPr/>
      </w:pPr>
      <w:r>
        <w:rPr/>
        <w:t xml:space="preserve">Except as otherwise indicated in </w:t>
      </w:r>
      <w:r>
        <w:rPr>
          <w:u w:val="single"/>
        </w:rPr>
        <w:t>Section 14</w:t>
      </w:r>
      <w:r>
        <w:rPr/>
        <w:t xml:space="preserve"> hereof, the maximum amount required to be paid by the Guarantor pursuant to this Guaranty shall not exceed an amount (the "</w:t>
      </w:r>
      <w:r>
        <w:rPr>
          <w:u w:val="single"/>
        </w:rPr>
        <w:t>Guaranteed Amount</w:t>
      </w:r>
      <w:r>
        <w:rPr/>
        <w:t xml:space="preserve">") equal to (i) One Hundred Million Dollars ($100,000,000) minus (ii) the aggregate of all amounts previously paid by the Guarantor under this Guaranty (other than amounts paid pursuant to the provisions of </w:t>
      </w:r>
      <w:r>
        <w:rPr>
          <w:u w:val="single"/>
        </w:rPr>
        <w:t>Section 14</w:t>
      </w:r>
      <w:r>
        <w:rPr/>
        <w:t xml:space="preserve"> hereof).  </w:t>
      </w:r>
    </w:p>
    <w:p>
      <w:pPr>
        <w:pStyle w:val="Pleading1L1"/>
        <w:keepNext w:val="true"/>
        <w:numPr>
          <w:ilvl w:val="0"/>
          <w:numId w:val="2"/>
        </w:numPr>
        <w:ind w:hanging="0" w:start="0"/>
        <w:rPr>
          <w:vanish/>
          <w:color w:val="FF0000"/>
        </w:rPr>
      </w:pPr>
      <w:r>
        <w:rPr/>
        <w:t>Guaranty Absolute</w:t>
      </w:r>
    </w:p>
    <w:p>
      <w:pPr>
        <w:pStyle w:val="Normal"/>
        <w:keepNext w:val="true"/>
        <w:rPr/>
      </w:pPr>
      <w:r>
        <w:rPr/>
        <w:t>.  The liability of the Guarantor under this Guaranty is absolute, irrevocable and unconditional and shall be unaffected by:</w:t>
      </w:r>
    </w:p>
    <w:p>
      <w:pPr>
        <w:pStyle w:val="Pleading1L2"/>
        <w:numPr>
          <w:ilvl w:val="1"/>
          <w:numId w:val="2"/>
        </w:numPr>
        <w:ind w:hanging="0" w:start="0"/>
        <w:rPr/>
      </w:pPr>
      <w:r>
        <w:rPr/>
        <w:t xml:space="preserve">any lack of validity or enforceability of the Agreement or any agreement or instrument relating thereto; </w:t>
      </w:r>
    </w:p>
    <w:p>
      <w:pPr>
        <w:pStyle w:val="Pleading1L2"/>
        <w:numPr>
          <w:ilvl w:val="1"/>
          <w:numId w:val="2"/>
        </w:numPr>
        <w:ind w:hanging="0" w:start="0"/>
        <w:rPr/>
      </w:pPr>
      <w:r>
        <w:rPr/>
        <w:t xml:space="preserve">the existence of any claim, setoff, defense or other right which Purchaser may have against Seller; </w:t>
      </w:r>
    </w:p>
    <w:p>
      <w:pPr>
        <w:pStyle w:val="Pleading1L2"/>
        <w:numPr>
          <w:ilvl w:val="1"/>
          <w:numId w:val="2"/>
        </w:numPr>
        <w:ind w:hanging="0" w:start="0"/>
        <w:rPr/>
      </w:pPr>
      <w:r>
        <w:rPr/>
        <w:t xml:space="preserve">any governmental requirement now or hereafter in effect in any jurisdiction affecting any of the terms of the Agreement or rights of Seller with respect thereto; </w:t>
      </w:r>
    </w:p>
    <w:p>
      <w:pPr>
        <w:pStyle w:val="Pleading1L2"/>
        <w:numPr>
          <w:ilvl w:val="1"/>
          <w:numId w:val="2"/>
        </w:numPr>
        <w:ind w:hanging="0" w:start="0"/>
        <w:rPr/>
      </w:pPr>
      <w:r>
        <w:rPr/>
        <w:t xml:space="preserve">the existence of, or any release or amendment or waiver of or consent to departure from, any other guaranty, for all or any of the Guaranteed Obligations; </w:t>
      </w:r>
    </w:p>
    <w:p>
      <w:pPr>
        <w:pStyle w:val="Pleading1L2"/>
        <w:numPr>
          <w:ilvl w:val="1"/>
          <w:numId w:val="2"/>
        </w:numPr>
        <w:ind w:hanging="0" w:start="0"/>
        <w:rPr/>
      </w:pPr>
      <w:r>
        <w:rPr/>
        <w:t xml:space="preserve">the failure of Seller to assert any claim or demand or to enforce any right or remedy under the Agreement; </w:t>
      </w:r>
    </w:p>
    <w:p>
      <w:pPr>
        <w:pStyle w:val="Pleading1L2"/>
        <w:numPr>
          <w:ilvl w:val="1"/>
          <w:numId w:val="2"/>
        </w:numPr>
        <w:ind w:hanging="0" w:start="0"/>
        <w:rPr/>
      </w:pPr>
      <w:r>
        <w:rPr/>
        <w:t xml:space="preserve">the bankruptcy, dissolution, liquidation or winding up of Purchaser or any other person or entity or any defense that may arise in connection with or as a result of any such bankruptcy, insolvency, receivership or other proceedings; </w:t>
      </w:r>
    </w:p>
    <w:p>
      <w:pPr>
        <w:pStyle w:val="Pleading1L2"/>
        <w:numPr>
          <w:ilvl w:val="1"/>
          <w:numId w:val="2"/>
        </w:numPr>
        <w:ind w:hanging="0" w:start="0"/>
        <w:rPr/>
      </w:pPr>
      <w:r>
        <w:rPr/>
        <w:t xml:space="preserve">the absence of any notice to, or knowledge by, the Guarantor of the existence or occurrence of any of the matters or events set forth in the foregoing clauses; </w:t>
      </w:r>
    </w:p>
    <w:p>
      <w:pPr>
        <w:pStyle w:val="Pleading1L2"/>
        <w:numPr>
          <w:ilvl w:val="1"/>
          <w:numId w:val="2"/>
        </w:numPr>
        <w:ind w:hanging="0" w:start="0"/>
        <w:rPr/>
      </w:pPr>
      <w:r>
        <w:rPr/>
        <w:t>any changes made to the terms of the Agreement, (provided, however, that no such change shall result in an increase of the amount required to be paid under this Guaranty); or</w:t>
      </w:r>
    </w:p>
    <w:p>
      <w:pPr>
        <w:pStyle w:val="Pleading1L2"/>
        <w:numPr>
          <w:ilvl w:val="1"/>
          <w:numId w:val="2"/>
        </w:numPr>
        <w:ind w:hanging="0" w:start="0"/>
        <w:rPr/>
      </w:pPr>
      <w:r>
        <w:rPr/>
        <w:t>any other circumstances, condition or event that might constitute or give rise to a defense to performance by the Guarantor of its obligations under this Guaranty.</w:t>
      </w:r>
    </w:p>
    <w:p>
      <w:pPr>
        <w:pStyle w:val="Pleading1L1"/>
        <w:keepNext w:val="true"/>
        <w:numPr>
          <w:ilvl w:val="0"/>
          <w:numId w:val="2"/>
        </w:numPr>
        <w:ind w:hanging="0" w:start="0"/>
        <w:rPr>
          <w:vanish/>
          <w:color w:val="FF0000"/>
        </w:rPr>
      </w:pPr>
      <w:r>
        <w:rPr/>
        <w:t>Waiver</w:t>
      </w:r>
    </w:p>
    <w:p>
      <w:pPr>
        <w:pStyle w:val="Normal"/>
        <w:keepNext w:val="true"/>
        <w:rPr/>
      </w:pPr>
      <w:r>
        <w:rPr/>
        <w:t xml:space="preserve">.  In addition to waiving any defense to payment referred to in </w:t>
      </w:r>
      <w:r>
        <w:rPr>
          <w:u w:val="single"/>
        </w:rPr>
        <w:t>Section 2</w:t>
      </w:r>
      <w:r>
        <w:rPr/>
        <w:t xml:space="preserve"> hereof:</w:t>
      </w:r>
    </w:p>
    <w:p>
      <w:pPr>
        <w:pStyle w:val="Pleading1L2"/>
        <w:numPr>
          <w:ilvl w:val="1"/>
          <w:numId w:val="2"/>
        </w:numPr>
        <w:ind w:hanging="0" w:start="0"/>
        <w:rPr/>
      </w:pPr>
      <w:r>
        <w:rPr/>
        <w:t xml:space="preserve">The Guarantor waives, and agrees that it shall not at any time insist upon, plead or in any manner whatsoever claim or take the benefit or advantage of, any appraisal, valuation, stay, extension, marshalling of assets or redemption laws, or exemption, whether now or at any time hereafter in force, which may delay, prevent or otherwise affect the performance by the Guarantor of its obligations under, or the enforcement by Seller of, this Guaranty. </w:t>
      </w:r>
    </w:p>
    <w:p>
      <w:pPr>
        <w:pStyle w:val="Pleading1L2"/>
        <w:numPr>
          <w:ilvl w:val="1"/>
          <w:numId w:val="2"/>
        </w:numPr>
        <w:ind w:hanging="0" w:start="0"/>
        <w:rPr/>
      </w:pPr>
      <w:r>
        <w:rPr/>
        <w:t xml:space="preserve">Except as otherwise set forth herein, the Guarantor waives presentment, promptness, diligence, notice of acceptance, and any other notice with respect to any of the Guaranteed Obligations and this Guaranty and any requirement that Seller protect, secure, perfect, or insure any collateral or exhaust any right or take any action against Purchaser or any other person or entity or any collateral. </w:t>
      </w:r>
    </w:p>
    <w:p>
      <w:pPr>
        <w:pStyle w:val="Pleading1L2"/>
        <w:numPr>
          <w:ilvl w:val="1"/>
          <w:numId w:val="2"/>
        </w:numPr>
        <w:ind w:hanging="0" w:start="0"/>
        <w:rPr/>
      </w:pPr>
      <w:r>
        <w:rPr/>
        <w:t xml:space="preserve">The Guarantor represents, warrants and agrees that its obligations under this Guaranty are not subject to any offsets or defenses of any kind against Seller.  The Guarantor further agrees that its obligations under this Guaranty shall not be subject to any counterclaims, offsets or defenses against Seller of any kind which may arise in the future. </w:t>
      </w:r>
    </w:p>
    <w:p>
      <w:pPr>
        <w:pStyle w:val="Pleading1L1"/>
        <w:keepNext w:val="true"/>
        <w:numPr>
          <w:ilvl w:val="0"/>
          <w:numId w:val="2"/>
        </w:numPr>
        <w:ind w:hanging="0" w:start="0"/>
        <w:rPr>
          <w:vanish/>
          <w:color w:val="FF0000"/>
        </w:rPr>
      </w:pPr>
      <w:r>
        <w:rPr/>
        <w:t>Representations and Warranties</w:t>
      </w:r>
    </w:p>
    <w:p>
      <w:pPr>
        <w:pStyle w:val="Normal"/>
        <w:keepNext w:val="true"/>
        <w:rPr/>
      </w:pPr>
      <w:r>
        <w:rPr/>
        <w:t xml:space="preserve">.  The Guarantor hereby represents and warrants as of the date hereof as follows: </w:t>
      </w:r>
    </w:p>
    <w:p>
      <w:pPr>
        <w:pStyle w:val="Pleading1L2"/>
        <w:numPr>
          <w:ilvl w:val="1"/>
          <w:numId w:val="2"/>
        </w:numPr>
        <w:ind w:hanging="0" w:start="0"/>
        <w:rPr/>
      </w:pPr>
      <w:r>
        <w:rPr>
          <w:u w:val="single"/>
        </w:rPr>
        <w:t>Due Organization</w:t>
      </w:r>
      <w:r>
        <w:rPr/>
        <w:t>.  The Guarantor is a corporation duly organized and validly existing under the laws of the State of [Oregon] and has the power and authority to carry on its business as now conducted.</w:t>
      </w:r>
    </w:p>
    <w:p>
      <w:pPr>
        <w:pStyle w:val="Pleading1L2"/>
        <w:numPr>
          <w:ilvl w:val="1"/>
          <w:numId w:val="2"/>
        </w:numPr>
        <w:ind w:hanging="0" w:start="0"/>
        <w:rPr/>
      </w:pPr>
      <w:r>
        <w:rPr>
          <w:u w:val="single"/>
        </w:rPr>
        <w:t>Power and Authority</w:t>
      </w:r>
      <w:r>
        <w:rPr/>
        <w:t xml:space="preserve">.  The Guarantor has full corporate power, authority and legal right to enter into this Guaranty and to perform its obligations hereunder. </w:t>
      </w:r>
    </w:p>
    <w:p>
      <w:pPr>
        <w:pStyle w:val="Pleading1L2"/>
        <w:numPr>
          <w:ilvl w:val="1"/>
          <w:numId w:val="2"/>
        </w:numPr>
        <w:ind w:hanging="0" w:start="0"/>
        <w:rPr/>
      </w:pPr>
      <w:r>
        <w:rPr>
          <w:u w:val="single"/>
        </w:rPr>
        <w:t>Due Authorization</w:t>
      </w:r>
      <w:r>
        <w:rPr/>
        <w:t xml:space="preserve">.  This Guaranty has been duly authorized, executed and delivered by the Guarantor. </w:t>
      </w:r>
    </w:p>
    <w:p>
      <w:pPr>
        <w:pStyle w:val="Pleading1L2"/>
        <w:numPr>
          <w:ilvl w:val="1"/>
          <w:numId w:val="2"/>
        </w:numPr>
        <w:ind w:hanging="0" w:start="0"/>
        <w:rPr/>
      </w:pPr>
      <w:r>
        <w:rPr>
          <w:u w:val="single"/>
        </w:rPr>
        <w:t>Enforceability</w:t>
      </w:r>
      <w:r>
        <w:rPr/>
        <w:t xml:space="preserve">.  This Guaranty constitutes the legal, valid and binding obligation of the Guarantor enforceable against the Guarantor in accordance with its terms, except as enforceability may be limited by applicable bankruptcy, insolvency, reorganization, moratorium or other similar laws affecting creditors' rights generally, and except as enforceability may be limited by general principles of equity (whether considered in a suit at law or in equity). </w:t>
      </w:r>
    </w:p>
    <w:p>
      <w:pPr>
        <w:pStyle w:val="Pleading1L2"/>
        <w:numPr>
          <w:ilvl w:val="1"/>
          <w:numId w:val="2"/>
        </w:numPr>
        <w:ind w:hanging="0" w:start="0"/>
        <w:rPr/>
      </w:pPr>
      <w:r>
        <w:rPr>
          <w:u w:val="single"/>
        </w:rPr>
        <w:t>No Violation</w:t>
      </w:r>
      <w:r>
        <w:rPr/>
        <w:t xml:space="preserve">.  The execution, delivery and performance of this Guaranty by Guarantor have been duly authorized, and the execution, delivery and performance do not (i) contravene any governmental requirement or any order, writ, injunction or decree of any court or governmental authority, which contravention could reasonably be expected to have a material adverse effect on the Guarantor's ability to perform its obligations under this Guaranty, (ii) conflict with or result in any material breach of any of the terms, covenants, conditions or provisions of, or constitute a material default under, or result in the creation or imposition of (or the obligation to create or impose) any lien upon any of its property or assets pursuant to the terms of any indenture, mortgage, deed of trust, credit agreement, loan agreement or any other agreement, contract or instrument to which it is a party or by which it or any of its property or assets is bound or to which it may be subject or (iii) violate any provision of its charter documents.  For purposes of this </w:t>
      </w:r>
      <w:r>
        <w:rPr>
          <w:u w:val="single"/>
        </w:rPr>
        <w:t>Subsection 4(e)</w:t>
      </w:r>
      <w:r>
        <w:rPr/>
        <w:t xml:space="preserve"> "</w:t>
      </w:r>
      <w:r>
        <w:rPr>
          <w:u w:val="single"/>
        </w:rPr>
        <w:t>material</w:t>
      </w:r>
      <w:r>
        <w:rPr/>
        <w:t xml:space="preserve">" means creating a liability of $50,000,000 or more. </w:t>
      </w:r>
    </w:p>
    <w:p>
      <w:pPr>
        <w:pStyle w:val="Pleading1L2"/>
        <w:numPr>
          <w:ilvl w:val="1"/>
          <w:numId w:val="2"/>
        </w:numPr>
        <w:ind w:hanging="0" w:start="0"/>
        <w:rPr/>
      </w:pPr>
      <w:r>
        <w:rPr>
          <w:u w:val="single"/>
        </w:rPr>
        <w:t>No Proceedings</w:t>
      </w:r>
      <w:r>
        <w:rPr/>
        <w:t xml:space="preserve">.  Except as disclosed in the Guarantor's Form 10-K for the year ended December 31, 1999 and the Guarantor's Form 10-Q for the periods ended March 31, 2000, June 30, 2000 and September 30, 2000, there is no action, suit or proceeding at law or in equity or by or before any governmental authority or arbitral tribunal now pending or, to the best knowledge of the Guarantor, threatened against the Guarantor before any court or arbitrator or any governmental body, agency or official which could reasonably be expected to have a material adverse effect on the Guarantor's ability to perform its obligations under this Guaranty. </w:t>
      </w:r>
    </w:p>
    <w:p>
      <w:pPr>
        <w:pStyle w:val="Pleading1L2"/>
        <w:numPr>
          <w:ilvl w:val="1"/>
          <w:numId w:val="2"/>
        </w:numPr>
        <w:ind w:hanging="0" w:start="0"/>
        <w:rPr/>
      </w:pPr>
      <w:r>
        <w:rPr>
          <w:u w:val="single"/>
        </w:rPr>
        <w:t>Financial Statements; Financial Condition</w:t>
      </w:r>
      <w:r>
        <w:rPr/>
        <w:t xml:space="preserve">.  The audited consolidated balance sheet of the Guarantor and its subsidiaries as of December 31, 1999, the quarterly unaudited financial statements through the third quarter of 2000 and the related audited consolidated statements of income, cash flows and changes in stockholders' equity accounts for the fiscal year then ended, copies of which have been delivered to Seller, fairly present, in conformity with U.S. generally accepted accounting principles,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year-end adjustments. </w:t>
      </w:r>
    </w:p>
    <w:p>
      <w:pPr>
        <w:pStyle w:val="Pleading1L1"/>
        <w:keepNext w:val="true"/>
        <w:numPr>
          <w:ilvl w:val="0"/>
          <w:numId w:val="2"/>
        </w:numPr>
        <w:ind w:hanging="0" w:start="0"/>
        <w:rPr>
          <w:vanish/>
          <w:color w:val="FF0000"/>
        </w:rPr>
      </w:pPr>
      <w:r>
        <w:rPr/>
        <w:t>Affirmative Covenants</w:t>
      </w:r>
    </w:p>
    <w:p>
      <w:pPr>
        <w:pStyle w:val="Normal"/>
        <w:keepNext w:val="true"/>
        <w:rPr/>
      </w:pPr>
      <w:r>
        <w:rPr/>
        <w:t xml:space="preserve">.  The Guarantor covenants and agrees that until this Guaranty has been terminated in accordance with </w:t>
      </w:r>
      <w:r>
        <w:rPr>
          <w:u w:val="single"/>
        </w:rPr>
        <w:t>Section 8</w:t>
      </w:r>
      <w:r>
        <w:rPr/>
        <w:t xml:space="preserve"> hereof:</w:t>
      </w:r>
    </w:p>
    <w:p>
      <w:pPr>
        <w:pStyle w:val="Pleading1L2"/>
        <w:numPr>
          <w:ilvl w:val="1"/>
          <w:numId w:val="2"/>
        </w:numPr>
        <w:ind w:hanging="0" w:start="0"/>
        <w:rPr/>
      </w:pPr>
      <w:r>
        <w:rPr>
          <w:u w:val="single"/>
        </w:rPr>
        <w:t>Existence</w:t>
      </w:r>
      <w:r>
        <w:rPr/>
        <w:t xml:space="preserve">.  The Guarantor will preserve and maintain its corporate existence; </w:t>
      </w:r>
      <w:r>
        <w:rPr>
          <w:u w:val="single"/>
        </w:rPr>
        <w:t>provided</w:t>
      </w:r>
      <w:r>
        <w:rPr/>
        <w:t xml:space="preserve">, </w:t>
      </w:r>
      <w:r>
        <w:rPr>
          <w:u w:val="single"/>
        </w:rPr>
        <w:t>however,</w:t>
      </w:r>
      <w:r>
        <w:rPr/>
        <w:t xml:space="preserve"> that the Guarantor may merge or consolidate with or into any entity if (i) the Guarantor is the survivor, or (ii) the surviving entity, if not the Guarantor (x) is organized under the laws of the United States or a state thereof and (y) assumes all obligations of the Guarantor under this Guaranty. </w:t>
      </w:r>
    </w:p>
    <w:p>
      <w:pPr>
        <w:pStyle w:val="Pleading1L2"/>
        <w:numPr>
          <w:ilvl w:val="1"/>
          <w:numId w:val="2"/>
        </w:numPr>
        <w:ind w:hanging="0" w:start="0"/>
        <w:rPr/>
      </w:pPr>
      <w:r>
        <w:rPr>
          <w:u w:val="single"/>
        </w:rPr>
        <w:t>Rights, Franchises</w:t>
      </w:r>
      <w:r>
        <w:rPr/>
        <w:t xml:space="preserve">.  The Guarantor will preserve and maintain all of its corporate rights, privileges and franchises necessary or desirable in the normal conduct of its business, except where the failure to maintain any such right, privilege or franchise, or the termination of existence of any such right, privilege or franchise (whether pursuant to any merger, consolidation, lease, sale, transfer or other disposition of assets), could not reasonably be expected to have a material adverse effect on the ability of the Guarantor to perform its obligations hereunder; </w:t>
      </w:r>
      <w:r>
        <w:rPr>
          <w:u w:val="single"/>
        </w:rPr>
        <w:t>provided</w:t>
      </w:r>
      <w:r>
        <w:rPr/>
        <w:t xml:space="preserve">, </w:t>
      </w:r>
      <w:r>
        <w:rPr>
          <w:u w:val="single"/>
        </w:rPr>
        <w:t>however</w:t>
      </w:r>
      <w:r>
        <w:rPr/>
        <w:t xml:space="preserve"> that this </w:t>
      </w:r>
      <w:r>
        <w:rPr>
          <w:u w:val="single"/>
        </w:rPr>
        <w:t>Section 5(b)</w:t>
      </w:r>
      <w:r>
        <w:rPr/>
        <w:t xml:space="preserve"> shall not apply to any transactions permitted by </w:t>
      </w:r>
      <w:r>
        <w:rPr>
          <w:u w:val="single"/>
        </w:rPr>
        <w:t>Section 5(a)</w:t>
      </w:r>
      <w:r>
        <w:rPr/>
        <w:t xml:space="preserve"> hereof. </w:t>
      </w:r>
    </w:p>
    <w:p>
      <w:pPr>
        <w:pStyle w:val="Pleading1L2"/>
        <w:numPr>
          <w:ilvl w:val="1"/>
          <w:numId w:val="2"/>
        </w:numPr>
        <w:ind w:hanging="0" w:start="0"/>
        <w:rPr/>
      </w:pPr>
      <w:r>
        <w:rPr>
          <w:u w:val="single"/>
        </w:rPr>
        <w:t>Compliance With Governmental Requirements</w:t>
      </w:r>
      <w:r>
        <w:rPr/>
        <w:t xml:space="preserve">.  The Guarantor will comply with all governmental requirements, except where the failure to comply could not reasonably be expected to have a material adverse effect on the ability of the Guarantor to perform its obligations hereunder. </w:t>
      </w:r>
    </w:p>
    <w:p>
      <w:pPr>
        <w:pStyle w:val="Pleading1L1"/>
        <w:keepNext w:val="true"/>
        <w:numPr>
          <w:ilvl w:val="0"/>
          <w:numId w:val="2"/>
        </w:numPr>
        <w:ind w:hanging="0" w:start="0"/>
        <w:rPr>
          <w:vanish/>
          <w:color w:val="FF0000"/>
        </w:rPr>
      </w:pPr>
      <w:r>
        <w:rPr/>
        <w:t>Address for Notices</w:t>
      </w:r>
    </w:p>
    <w:p>
      <w:pPr>
        <w:pStyle w:val="Normal"/>
        <w:keepNext w:val="true"/>
        <w:rPr/>
      </w:pPr>
      <w:r>
        <w:rPr/>
        <w:t xml:space="preserve">.  </w:t>
      </w:r>
    </w:p>
    <w:p>
      <w:pPr>
        <w:pStyle w:val="Pleading1L2"/>
        <w:numPr>
          <w:ilvl w:val="1"/>
          <w:numId w:val="2"/>
        </w:numPr>
        <w:ind w:hanging="0" w:start="0"/>
        <w:rPr/>
      </w:pPr>
      <w:r>
        <w:rPr/>
        <w:t xml:space="preserve">All notices and other communications provided for hereunder shall be (i) in writing (including telecopier), and (ii) telecopied or sent by overnight courier (if for inland delivery) or international courier (if for overseas delivery) and if such courier service is not available, by registered airmail (or, if for inland delivery, registered first-class mail) with postage prepaid, to a party hereto at its address and contact number set forth below or at such other address and contact number as is designated by such party in a written notice to the other parties hereto. </w:t>
      </w:r>
    </w:p>
    <w:p>
      <w:pPr>
        <w:pStyle w:val="Pleading1L2"/>
        <w:numPr>
          <w:ilvl w:val="1"/>
          <w:numId w:val="2"/>
        </w:numPr>
        <w:ind w:hanging="0" w:start="0"/>
        <w:rPr/>
      </w:pPr>
      <w:r>
        <w:rPr/>
        <w:t xml:space="preserve">All such notices and communications shall be effective (i) if sent by telecopier, when sent (on receipt of a confirmation to the correct telecopier number) and (ii) if sent by courier, (x) one (1) day after deposit with an overnight courier if for inland delivery and (y) four (4) days after deposit with an international courier if for overseas delivery; </w:t>
      </w:r>
      <w:r>
        <w:rPr>
          <w:u w:val="single"/>
        </w:rPr>
        <w:t>provided</w:t>
      </w:r>
      <w:r>
        <w:rPr/>
        <w:t xml:space="preserve">, </w:t>
      </w:r>
      <w:r>
        <w:rPr>
          <w:u w:val="single"/>
        </w:rPr>
        <w:t>however</w:t>
      </w:r>
      <w:r>
        <w:rPr/>
        <w:t xml:space="preserve">, that no notice or communication to Seller shall be effective until received by Seller. </w:t>
      </w:r>
    </w:p>
    <w:p>
      <w:pPr>
        <w:pStyle w:val="Pleading1L2"/>
        <w:numPr>
          <w:ilvl w:val="1"/>
          <w:numId w:val="2"/>
        </w:numPr>
        <w:ind w:hanging="0" w:start="0"/>
        <w:rPr/>
      </w:pPr>
      <w:r>
        <w:rPr/>
        <w:t xml:space="preserve">An original of each notice and communication sent by telecopy shall be dispatched by overnight courier (if for inland delivery) or international courier (if for overseas delivery) and, if such courier service is not available, by registered airmail (or, if for inland delivery, registered first-class mail) with postage prepaid, provided that the effective date of any such notice shall be determined in accordance with </w:t>
      </w:r>
      <w:r>
        <w:rPr>
          <w:u w:val="single"/>
        </w:rPr>
        <w:t>Section 6(b)</w:t>
      </w:r>
      <w:r>
        <w:rPr/>
        <w:t xml:space="preserve"> hereof without regard to the dispatch of such original.</w:t>
      </w:r>
    </w:p>
    <w:p>
      <w:pPr>
        <w:pStyle w:val="NoticeAddressHanging"/>
        <w:keepLines/>
        <w:rPr/>
      </w:pPr>
      <w:r>
        <w:rPr/>
        <w:t>The Guarantor:</w:t>
        <w:tab/>
        <w:t xml:space="preserve">Enron Corp. </w:t>
        <w:br/>
        <w:t xml:space="preserve">1400 Smith Street </w:t>
        <w:br/>
        <w:t xml:space="preserve">Houston, TX 77002 </w:t>
        <w:br/>
        <w:t>Attention:</w:t>
        <w:tab/>
        <w:t xml:space="preserve">Senior Vice President, </w:t>
        <w:br/>
        <w:tab/>
        <w:t>Finance and Treasurer</w:t>
        <w:br/>
        <w:t>Telephone:</w:t>
        <w:tab/>
        <w:t>(713) 853-6161</w:t>
        <w:br/>
        <w:t>Telecopier:</w:t>
        <w:tab/>
        <w:t xml:space="preserve">(713) 646-3422 </w:t>
      </w:r>
    </w:p>
    <w:p>
      <w:pPr>
        <w:pStyle w:val="NoticeAddressHanging"/>
        <w:keepLines/>
        <w:rPr/>
      </w:pPr>
      <w:r>
        <w:rPr/>
        <w:t>Seller:</w:t>
        <w:tab/>
        <w:t>Indian Mesa Power Partners II L.P.</w:t>
        <w:br/>
        <w:t xml:space="preserve">13000 Jameson Road  </w:t>
        <w:br/>
        <w:t>Tehachapi, California 93561</w:t>
        <w:br/>
        <w:t>Attention:</w:t>
        <w:tab/>
        <w:t>Dir. of Asset Management</w:t>
        <w:br/>
        <w:t>Telephone:</w:t>
        <w:tab/>
        <w:t>(661) 823-6425</w:t>
        <w:br/>
        <w:t>Telecopier:</w:t>
        <w:tab/>
        <w:t>(661) 823-5015</w:t>
      </w:r>
    </w:p>
    <w:p>
      <w:pPr>
        <w:pStyle w:val="NoticeAddressHanging"/>
        <w:keepLines/>
        <w:rPr/>
      </w:pPr>
      <w:r>
        <w:rPr/>
        <w:t>With a copy to:</w:t>
        <w:tab/>
        <w:t>Enron Wind Corp.</w:t>
        <w:br/>
        <w:t>444 South Flower Street</w:t>
        <w:br/>
        <w:t xml:space="preserve">Suite 4545 </w:t>
        <w:br/>
        <w:t xml:space="preserve">Los Angeles, California 90071 </w:t>
        <w:br/>
        <w:t>Attention:</w:t>
        <w:tab/>
        <w:t>General Counsel</w:t>
        <w:br/>
        <w:t>Telephone:</w:t>
        <w:tab/>
        <w:t>(213) 452-4881</w:t>
        <w:br/>
        <w:t>Telecopier:</w:t>
        <w:tab/>
        <w:t>(213) 452-4888</w:t>
      </w:r>
    </w:p>
    <w:p>
      <w:pPr>
        <w:pStyle w:val="Pleading1L1"/>
        <w:numPr>
          <w:ilvl w:val="0"/>
          <w:numId w:val="2"/>
        </w:numPr>
        <w:ind w:hanging="0" w:start="0"/>
        <w:rPr>
          <w:vanish/>
          <w:color w:val="FF0000"/>
        </w:rPr>
      </w:pPr>
      <w:r>
        <w:rPr/>
        <w:t>No Waiver; Remedies</w:t>
      </w:r>
    </w:p>
    <w:p>
      <w:pPr>
        <w:pStyle w:val="Normal"/>
        <w:rPr/>
      </w:pPr>
      <w:r>
        <w:rPr/>
        <w:t xml:space="preserve">.  No failure on the part of Seller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 </w:t>
      </w:r>
    </w:p>
    <w:p>
      <w:pPr>
        <w:pStyle w:val="Pleading1L1"/>
        <w:numPr>
          <w:ilvl w:val="0"/>
          <w:numId w:val="2"/>
        </w:numPr>
        <w:ind w:hanging="0" w:start="0"/>
        <w:rPr>
          <w:vanish/>
          <w:color w:val="FF0000"/>
        </w:rPr>
      </w:pPr>
      <w:r>
        <w:rPr/>
        <w:t>Continuing Guaranty</w:t>
      </w:r>
    </w:p>
    <w:p>
      <w:pPr>
        <w:pStyle w:val="Normal"/>
        <w:rPr/>
      </w:pPr>
      <w:r>
        <w:rPr/>
        <w:t xml:space="preserve">.  This Guaranty is a continuing guaranty and obligation and shall remain in full force and effect until the earlier to occur of (a) the satisfaction in full of all obligations under this Guaranty (other than any obligations arising under </w:t>
      </w:r>
      <w:r>
        <w:rPr>
          <w:u w:val="single"/>
        </w:rPr>
        <w:t>Section 5</w:t>
      </w:r>
      <w:r>
        <w:rPr/>
        <w:t xml:space="preserve"> hereof after satisfaction in full of all other such obligations) and (b) the satisfaction in full of the obligations of Purchaser under the Agreement, at which time this Guaranty shall terminate. </w:t>
      </w:r>
    </w:p>
    <w:p>
      <w:pPr>
        <w:pStyle w:val="Pleading1L1"/>
        <w:numPr>
          <w:ilvl w:val="0"/>
          <w:numId w:val="2"/>
        </w:numPr>
        <w:ind w:hanging="0" w:start="0"/>
        <w:rPr>
          <w:vanish/>
          <w:color w:val="FF0000"/>
        </w:rPr>
      </w:pPr>
      <w:r>
        <w:rPr/>
        <w:t>Subrogation</w:t>
      </w:r>
    </w:p>
    <w:p>
      <w:pPr>
        <w:pStyle w:val="Normal"/>
        <w:rPr/>
      </w:pPr>
      <w:r>
        <w:rPr/>
        <w:t xml:space="preserve">.  Until all Guaranteed Obligations have been satisfied in full, the Guarantor shall not exercise, and hereby irrevocably waives until such date, to the fullest extent permitted by applicable governmental requirements, any claim, right or remedy that it may now have or may hereafter acquire against Purchaser arising under or in connection with this Guaranty, including, without limitation, any claim, right or remedy of subrogation, contribution, reimbursement, exoneration, indemnification or participation arising under contract by governmental requirement or otherwise in any claim, right or remedy that Seller may now have or may hereafter acquire.  </w:t>
      </w:r>
    </w:p>
    <w:p>
      <w:pPr>
        <w:pStyle w:val="Pleading1L1"/>
        <w:numPr>
          <w:ilvl w:val="0"/>
          <w:numId w:val="2"/>
        </w:numPr>
        <w:ind w:hanging="0" w:start="0"/>
        <w:rPr>
          <w:vanish/>
          <w:color w:val="FF0000"/>
        </w:rPr>
      </w:pPr>
      <w:r>
        <w:rPr/>
        <w:t xml:space="preserve"> </w:t>
      </w:r>
      <w:r>
        <w:rPr/>
        <w:t>Payment</w:t>
      </w:r>
    </w:p>
    <w:p>
      <w:pPr>
        <w:pStyle w:val="Normal"/>
        <w:rPr/>
      </w:pPr>
      <w:r>
        <w:rPr/>
        <w:t xml:space="preserve">.  The Guarantor agrees that whenever the Guarantor shall make any payment hereunder on account of the liability hereunder, the Guarantor shall deliver such payment to Seller. </w:t>
      </w:r>
    </w:p>
    <w:p>
      <w:pPr>
        <w:pStyle w:val="Pleading1L1"/>
        <w:numPr>
          <w:ilvl w:val="0"/>
          <w:numId w:val="2"/>
        </w:numPr>
        <w:ind w:hanging="0" w:start="0"/>
        <w:rPr>
          <w:vanish/>
          <w:color w:val="FF0000"/>
        </w:rPr>
      </w:pPr>
      <w:r>
        <w:rPr/>
        <w:t xml:space="preserve"> </w:t>
      </w:r>
      <w:r>
        <w:rPr/>
        <w:t>Amendments, Successors; Etc.</w:t>
      </w:r>
    </w:p>
    <w:p>
      <w:pPr>
        <w:pStyle w:val="Normal"/>
        <w:rPr/>
      </w:pPr>
      <w:r>
        <w:rPr/>
        <w:t xml:space="preserve">  </w:t>
      </w:r>
      <w:r>
        <w:rPr/>
        <w:t>Neither this Guaranty nor any term hereof may be changed, waived, discharged or terminated orally, but only by an instrument in writing signed by Seller and the Guarantor.  All of the terms of this instrument shall be binding upon and inure to the benefit of the parties hereto and their respective successors and assigns.  No delay or failure by Seller to exercise any remedy against the Guarantor will be construed as a waiver of that right or remedy.  In the event that the provisions of this Guaranty are claimed or held to be inconsistent with any other instrument evidencing or securing the obligations under this Guaranty, the terms of this Guaranty shall remain fully valid and effective.  If any one or more of the provisions of this Guaranty should be determined to be illegal or unenforceable, all other provisions shall remain effective and the Guarantor shall replace the illegal or unenforceable provision, to the extent possible, such that the original intent is achieved.</w:t>
      </w:r>
    </w:p>
    <w:p>
      <w:pPr>
        <w:pStyle w:val="Pleading1L1"/>
        <w:numPr>
          <w:ilvl w:val="0"/>
          <w:numId w:val="2"/>
        </w:numPr>
        <w:ind w:hanging="0" w:start="0"/>
        <w:rPr>
          <w:vanish/>
          <w:color w:val="FF0000"/>
        </w:rPr>
      </w:pPr>
      <w:r>
        <w:rPr/>
        <w:t>GOVERNING LAW</w:t>
      </w:r>
    </w:p>
    <w:p>
      <w:pPr>
        <w:pStyle w:val="BodyText"/>
        <w:rPr/>
      </w:pPr>
      <w:r>
        <w:rPr/>
        <w:t xml:space="preserve">.  THIS GUARANTY SHALL BE GOVERNED BY, AND CONSTRUED IN ACCORDANCE WITH, THE LAWS OF THE STATE OF NEW YORK APPLICABLE TO CONTRACTS MADE AND TO BE PERFORMED IN SUCH STATE, WITHOUT REGARD TO THE PRINCIPLES OF CONFLICTS OF LAW (OTHER THAN SECTION 5-1401 OF THE NEW YORK GENERAL OBLIGATIONS LAW).  ANY PROCESS OR SUMMONS IN CONNECTION WITH ANY ACTION OR PROCEEDING MAY BE SERVED BY MAILING A COPY THEREOF BY CERTIFIED OR REGISTERED MAIL, OR ANY SUBSTANTIALLY SIMILAR FORM OF MAIL, ADDRESSED TO THE GUARANTOR AS PROVIDED FOR NOTICES HEREUNDER. </w:t>
      </w:r>
    </w:p>
    <w:p>
      <w:pPr>
        <w:pStyle w:val="Pleading1L1"/>
        <w:numPr>
          <w:ilvl w:val="0"/>
          <w:numId w:val="2"/>
        </w:numPr>
        <w:ind w:hanging="0" w:start="0"/>
        <w:rPr>
          <w:vanish/>
          <w:color w:val="FF0000"/>
        </w:rPr>
      </w:pPr>
      <w:r>
        <w:rPr/>
        <w:t xml:space="preserve"> </w:t>
      </w:r>
      <w:r>
        <w:rPr/>
        <w:t>Assignability</w:t>
      </w:r>
    </w:p>
    <w:p>
      <w:pPr>
        <w:pStyle w:val="Normal"/>
        <w:rPr/>
      </w:pPr>
      <w:r>
        <w:rPr/>
        <w:t xml:space="preserve">.  Guarantor shall not assign its obligations hereunder without the prior written consent of Seller and any purported assignment in violation of this provision shall be void.  This Guaranty shall remain in effect notwithstanding any transfer by Guarantor of its interest in Purchaser. </w:t>
      </w:r>
    </w:p>
    <w:p>
      <w:pPr>
        <w:pStyle w:val="Pleading1L1"/>
        <w:numPr>
          <w:ilvl w:val="0"/>
          <w:numId w:val="2"/>
        </w:numPr>
        <w:ind w:hanging="0" w:start="0"/>
        <w:rPr>
          <w:vanish/>
          <w:color w:val="FF0000"/>
        </w:rPr>
      </w:pPr>
      <w:r>
        <w:rPr>
          <w:u w:val="none"/>
        </w:rPr>
        <w:t xml:space="preserve"> </w:t>
      </w:r>
      <w:r>
        <w:rPr/>
        <w:t>Expenses</w:t>
      </w:r>
    </w:p>
    <w:p>
      <w:pPr>
        <w:pStyle w:val="Normal"/>
        <w:rPr/>
      </w:pPr>
      <w:r>
        <w:rPr/>
        <w:t>.  In addition to the Guaranteed Amount, the Guarantor agrees to pay to Seller all reasonable out-of-pocket expenses (including, without limitation, reasonable expenses for legal services of any kind) incurred by Seller in respect of the enforcement of any provision of this Guaranty.</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entered"/>
        <w:spacing w:before="360" w:after="0"/>
        <w:rPr/>
      </w:pPr>
      <w:r>
        <w:rPr/>
        <w:t>[Signature on Next Page]</w:t>
      </w:r>
    </w:p>
    <w:p>
      <w:pPr>
        <w:pStyle w:val="BodyText"/>
        <w:rPr/>
      </w:pPr>
      <w:r>
        <w:rPr/>
        <w:t xml:space="preserve">IN WITNESS WHEREOF, Guarantor has caused this Guaranty to be duly executed and delivered as of the date first above written. </w:t>
      </w:r>
    </w:p>
    <w:p>
      <w:pPr>
        <w:pStyle w:val="Signature"/>
        <w:rPr/>
      </w:pPr>
      <w:r>
        <w:rPr/>
        <w:t xml:space="preserve">ENRON CORP., </w:t>
        <w:br/>
        <w:t xml:space="preserve">an [Oregon] corporation </w:t>
        <w:br/>
        <w:br/>
        <w:br/>
        <w:br/>
        <w:t xml:space="preserve">By: </w:t>
        <w:tab/>
      </w:r>
      <w:r>
        <w:rPr>
          <w:u w:val="single"/>
        </w:rPr>
        <w:tab/>
        <w:br/>
      </w:r>
      <w:r>
        <w:rPr/>
        <w:tab/>
        <w:t>Name:</w:t>
      </w:r>
      <w:r>
        <w:rPr>
          <w:u w:val="single"/>
        </w:rPr>
        <w:tab/>
      </w:r>
      <w:r>
        <w:rPr/>
        <w:br/>
        <w:tab/>
        <w:t>Title:</w:t>
      </w:r>
      <w:r>
        <w:rPr>
          <w:u w:val="single"/>
        </w:rPr>
        <w:tab/>
      </w:r>
    </w:p>
    <w:p>
      <w:pPr>
        <w:pStyle w:val="Signature"/>
        <w:ind w:start="0" w:end="0"/>
        <w:rPr>
          <w:u w:val="single"/>
        </w:rPr>
      </w:pPr>
      <w:r>
        <w:rPr>
          <w:u w:val="single"/>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Book Antiqua">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680" w:leader="none"/>
        <w:tab w:val="right" w:pos="9360" w:leader="none"/>
      </w:tabs>
      <w:spacing w:lineRule="exact" w:line="200" w:before="240" w:after="0"/>
      <w:rPr/>
    </w:pPr>
    <w:r>
      <w:rPr/>
      <w:t xml:space="preserve"> </w:t>
    </w:r>
    <w:r>
      <w:rPr/>
      <w:tab/>
      <w:tab/>
    </w:r>
    <w:r>
      <w:rPr>
        <w:sz w:val="16"/>
      </w:rPr>
      <w:t>Guaranty</w:t>
    </w:r>
  </w:p>
  <w:p>
    <w:pPr>
      <w:pStyle w:val="Footer"/>
      <w:spacing w:lineRule="exact" w:line="20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spacing w:lineRule="exact" w:line="200"/>
      <w:rPr/>
    </w:pPr>
    <w:r>
      <w:rPr>
        <w:rStyle w:val="zzmpTrailerItem"/>
      </w:rPr>
      <w:t>LA1:#6191664v2</w:t>
    </w:r>
    <w:r>
      <w:rPr/>
      <w:t xml:space="preserve"> </w:t>
    </w:r>
  </w:p>
  <w:p>
    <w:pPr>
      <w:pStyle w:val="Footer"/>
      <w:spacing w:lineRule="exact" w:line="200"/>
      <w:rPr/>
    </w:pPr>
    <w:r>
      <w:rPr>
        <w:rStyle w:val="zzmpTrailerItem"/>
      </w:rPr>
      <w:t xml:space="preserve">34257-05000 </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680" w:leader="none"/>
        <w:tab w:val="right" w:pos="9360" w:leader="none"/>
      </w:tabs>
      <w:spacing w:lineRule="exact" w:line="200"/>
      <w:rPr/>
    </w:pPr>
    <w:r>
      <w:rPr/>
      <w:tab/>
      <w:tab/>
    </w:r>
    <w:r>
      <w:rPr>
        <w:sz w:val="16"/>
      </w:rPr>
      <w:t>Guaranty</w:t>
    </w:r>
  </w:p>
  <w:p>
    <w:pPr>
      <w:pStyle w:val="Footer"/>
      <w:spacing w:lineRule="exact" w:line="200"/>
      <w:rPr/>
    </w:pPr>
    <w:r>
      <w:rPr/>
      <w:tab/>
    </w:r>
  </w:p>
  <w:p>
    <w:pPr>
      <w:pStyle w:val="Footer"/>
      <w:spacing w:lineRule="exact" w:line="200"/>
      <w:rPr/>
    </w:pPr>
    <w:r>
      <w:rPr>
        <w:rStyle w:val="zzmpTrailerItem"/>
      </w:rPr>
      <w:t>LA1:#6191664v2</w:t>
    </w:r>
    <w:r>
      <w:rPr/>
      <w:t xml:space="preserve"> </w:t>
    </w:r>
  </w:p>
  <w:p>
    <w:pPr>
      <w:pStyle w:val="Footer"/>
      <w:spacing w:lineRule="exact" w:line="200"/>
      <w:rPr/>
    </w:pPr>
    <w:r>
      <w:rPr>
        <w:rStyle w:val="zzmpTrailerItem"/>
      </w:rPr>
      <w:t xml:space="preserve">34257-05000 </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680" w:leader="none"/>
        <w:tab w:val="right" w:pos="9360" w:leader="none"/>
      </w:tabs>
      <w:spacing w:lineRule="exact" w:line="200" w:before="240" w:after="0"/>
      <w:rPr/>
    </w:pPr>
    <w:r>
      <w:rPr/>
      <w:t xml:space="preserve"> </w:t>
    </w:r>
    <w:r>
      <w:rPr/>
      <w:tab/>
      <w:tab/>
    </w:r>
    <w:r>
      <w:rPr>
        <w:sz w:val="16"/>
      </w:rPr>
      <w:t>Guaranty</w:t>
    </w:r>
  </w:p>
  <w:p>
    <w:pPr>
      <w:pStyle w:val="Footer"/>
      <w:spacing w:lineRule="exact" w:line="20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spacing w:lineRule="exact" w:line="200"/>
      <w:rPr/>
    </w:pPr>
    <w:r>
      <w:rPr>
        <w:rStyle w:val="zzmpTrailerItem"/>
      </w:rPr>
      <w:t>LA1:#6191664v2</w:t>
    </w:r>
    <w:r>
      <w:rPr/>
      <w:t xml:space="preserve"> </w:t>
    </w:r>
  </w:p>
  <w:p>
    <w:pPr>
      <w:pStyle w:val="Footer"/>
      <w:spacing w:lineRule="exact" w:line="200"/>
      <w:rPr/>
    </w:pPr>
    <w:r>
      <w:rPr>
        <w:rStyle w:val="zzmpTrailerItem"/>
      </w:rPr>
      <w:t xml:space="preserve">34257-05000 </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680" w:leader="none"/>
        <w:tab w:val="right" w:pos="9360" w:leader="none"/>
      </w:tabs>
      <w:spacing w:lineRule="exact" w:line="200"/>
      <w:rPr/>
    </w:pPr>
    <w:r>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ab/>
    </w:r>
    <w:r>
      <w:rPr>
        <w:sz w:val="16"/>
      </w:rPr>
      <w:t>Guaranty</w:t>
    </w:r>
  </w:p>
  <w:p>
    <w:pPr>
      <w:pStyle w:val="Footer"/>
      <w:tabs>
        <w:tab w:val="clear" w:pos="8640"/>
        <w:tab w:val="center" w:pos="4680" w:leader="none"/>
        <w:tab w:val="right" w:pos="9360" w:leader="none"/>
      </w:tabs>
      <w:spacing w:lineRule="exact" w:line="200"/>
      <w:rPr/>
    </w:pPr>
    <w:r>
      <w:rPr>
        <w:rStyle w:val="zzmpTrailerItem"/>
      </w:rPr>
      <w:t>LA1:#6191664v2</w:t>
    </w:r>
    <w:r>
      <w:rPr/>
      <w:t xml:space="preserve"> </w:t>
    </w:r>
  </w:p>
  <w:p>
    <w:pPr>
      <w:pStyle w:val="Footer"/>
      <w:tabs>
        <w:tab w:val="clear" w:pos="8640"/>
        <w:tab w:val="center" w:pos="4680" w:leader="none"/>
        <w:tab w:val="right" w:pos="9360" w:leader="none"/>
      </w:tabs>
      <w:spacing w:lineRule="exact" w:line="200"/>
      <w:rPr/>
    </w:pPr>
    <w:r>
      <w:rPr>
        <w:rStyle w:val="zzmpTrailerItem"/>
      </w:rPr>
      <w:t xml:space="preserve">34257-05000 </w:t>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lvlText w:val="Section %1."/>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Times New Roman" w:hAnsi="Times New Roman;Times New Roman" w:cs="Times New Roman;Times New Roman"/>
        <w:color w:val="auto"/>
      </w:rPr>
    </w:lvl>
    <w:lvl w:ilvl="1">
      <w:start w:val="1"/>
      <w:numFmt w:val="lowerLetter"/>
      <w:lvlText w:val="(%2)    "/>
      <w:lvlJc w:val="start"/>
      <w:pPr>
        <w:tabs>
          <w:tab w:val="num" w:pos="2880"/>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Times New Roman" w:hAnsi="Times New Roman;Times New Roman" w:cs="Times New Roman;Times New Roman"/>
        <w:color w:val="auto"/>
      </w:rPr>
    </w:lvl>
    <w:lvl w:ilvl="2">
      <w:start w:val="1"/>
      <w:numFmt w:val="decimal"/>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b w:val="false"/>
        <w:vanish w:val="false"/>
        <w:color w:val="0000FF"/>
      </w:rPr>
    </w:lvl>
    <w:lvl w:ilvl="3">
      <w:start w:val="1"/>
      <w:numFmt w:val="low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shadow w:val="false"/>
        <w:u w:val="none"/>
        <w:vanish w:val="false"/>
        <w:color w:val="0000FF"/>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0000FF"/>
      </w:r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hyphenationZone w:val="0"/>
  <w:compat>
    <w:doNotExpandShiftReturn/>
    <w:compatSetting w:name="compatibilityMode" w:uri="http://schemas.microsoft.com/office/word" w:val="11"/>
  </w:compat>
  <w:docVars>
    <w:docVar w:name="zzmpFixedCurrentTOCScheme" w:val="Pleading1"/>
    <w:docVar w:name="zzmpFixedCurScheme" w:val="Pleading1"/>
    <w:docVar w:name="zzmpFixedDOC_ID" w:val="H:\Docs\PPA Guaranty.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Times New Roman;Times New Roman" w:hAnsi="Times New Roman;Times New Roman" w:cs="Times New Roman;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2z2">
    <w:name w:val="WW8Num12z2"/>
    <w:qFormat/>
    <w:rPr>
      <w:b w:val="false"/>
      <w:i w:val="false"/>
      <w:caps w:val="false"/>
      <w:smallCaps w:val="false"/>
      <w:strike w:val="false"/>
      <w:dstrike w:val="false"/>
      <w:outline w:val="false"/>
      <w:shadow w:val="false"/>
      <w:vanish w:val="false"/>
      <w:color w:val="0000FF"/>
      <w:position w:val="0"/>
      <w:sz w:val="24"/>
      <w:vertAlign w:val="baseline"/>
    </w:rPr>
  </w:style>
  <w:style w:type="character" w:styleId="WW8Num12z3">
    <w:name w:val="WW8Num12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12z4">
    <w:name w:val="WW8Num12z4"/>
    <w:qFormat/>
    <w:rPr>
      <w:caps w:val="false"/>
      <w:smallCaps w:val="false"/>
      <w:strike w:val="false"/>
      <w:dstrike w:val="false"/>
      <w:outline w:val="false"/>
      <w:shadow w:val="false"/>
      <w:vanish w:val="false"/>
      <w:color w:val="0000FF"/>
      <w:position w:val="0"/>
      <w:sz w:val="24"/>
      <w:u w:val="none"/>
      <w:vertAlign w:val="baseline"/>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bold">
    <w:name w:val="bold"/>
    <w:basedOn w:val="DefaultParagraphFont"/>
    <w:qFormat/>
    <w:rPr>
      <w:b/>
    </w:rPr>
  </w:style>
  <w:style w:type="character" w:styleId="Underlined">
    <w:name w:val="Underlined"/>
    <w:basedOn w:val="DefaultParagraphFont"/>
    <w:qFormat/>
    <w:rPr>
      <w:rFonts w:ascii="Times New Roman;Times New Roman" w:hAnsi="Times New Roman;Times New Roman" w:cs="Times New Roman;Times New Roman"/>
      <w:color w:val="auto"/>
      <w:sz w:val="24"/>
      <w:u w:val="single"/>
    </w:rPr>
  </w:style>
  <w:style w:type="character" w:styleId="zzmpTrailerItem">
    <w:name w:val="zzmpTrailerItem"/>
    <w:basedOn w:val="DefaultParagraphFont"/>
    <w:qFormat/>
    <w:rPr>
      <w:sz w:val="16"/>
      <w:effect w:val="blinkBackground"/>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style>
  <w:style w:type="character" w:styleId="Pleading1TCEntryL8">
    <w:name w:val="Pleading1TCEntryL8"/>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680" w:leader="none"/>
        <w:tab w:val="right" w:pos="8640" w:leader="none"/>
      </w:tabs>
    </w:pPr>
    <w:rPr>
      <w:lang w:eastAsia="en-US"/>
    </w:rPr>
  </w:style>
  <w:style w:type="paragraph" w:styleId="BodyTextIndent">
    <w:name w:val="Body Text Indent"/>
    <w:basedOn w:val="BodyText"/>
    <w:next w:val="BodyText"/>
    <w:pPr>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240" w:after="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Times New Roman" w:hAnsi="Times New Roman;Times New Roman" w:eastAsia="Times New Roman;Times New Roman" w:cs="Times New Roman;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spacing w:before="240" w:after="240"/>
      <w:ind w:hanging="0" w:start="0" w:end="0"/>
      <w:jc w:val="center"/>
    </w:pPr>
    <w:rPr/>
  </w:style>
  <w:style w:type="paragraph" w:styleId="Heading2Para">
    <w:name w:val="Heading2Para"/>
    <w:basedOn w:val="BodyText"/>
    <w:next w:val="BodyText"/>
    <w:qFormat/>
    <w:pPr>
      <w:spacing w:before="240" w:after="240"/>
      <w:ind w:hanging="0" w:start="0" w:end="0"/>
    </w:pPr>
    <w:rPr/>
  </w:style>
  <w:style w:type="paragraph" w:styleId="Heading3Para">
    <w:name w:val="Heading3Para"/>
    <w:basedOn w:val="BodyText"/>
    <w:next w:val="BodyText"/>
    <w:qFormat/>
    <w:pPr>
      <w:spacing w:before="240" w:after="240"/>
    </w:pPr>
    <w:rPr/>
  </w:style>
  <w:style w:type="paragraph" w:styleId="Heading4Para">
    <w:name w:val="Heading4Para"/>
    <w:basedOn w:val="BodyText"/>
    <w:next w:val="BodyText"/>
    <w:qFormat/>
    <w:pPr>
      <w:spacing w:before="240" w:after="240"/>
      <w:ind w:firstLine="2160" w:start="0" w:end="0"/>
    </w:pPr>
    <w:rPr/>
  </w:style>
  <w:style w:type="paragraph" w:styleId="Heading5Para">
    <w:name w:val="Heading5Para"/>
    <w:basedOn w:val="BodyText"/>
    <w:next w:val="BodyText"/>
    <w:qFormat/>
    <w:pPr>
      <w:spacing w:before="240" w:after="240"/>
      <w:ind w:firstLine="2880" w:start="0" w:end="0"/>
    </w:pPr>
    <w:rPr/>
  </w:style>
  <w:style w:type="paragraph" w:styleId="Heading6Para">
    <w:name w:val="Heading6Para"/>
    <w:basedOn w:val="BodyText"/>
    <w:next w:val="BodyText"/>
    <w:qFormat/>
    <w:pPr>
      <w:spacing w:before="240" w:after="240"/>
      <w:ind w:firstLine="3600" w:start="0" w:end="0"/>
    </w:pPr>
    <w:rPr/>
  </w:style>
  <w:style w:type="paragraph" w:styleId="Heading7Para">
    <w:name w:val="Heading7Para"/>
    <w:basedOn w:val="BodyText"/>
    <w:next w:val="BodyText"/>
    <w:qFormat/>
    <w:pPr>
      <w:spacing w:before="240" w:after="240"/>
      <w:ind w:firstLine="4320" w:start="0" w:end="0"/>
    </w:pPr>
    <w:rPr/>
  </w:style>
  <w:style w:type="paragraph" w:styleId="Heading8Para">
    <w:name w:val="Heading8Para"/>
    <w:basedOn w:val="BodyText"/>
    <w:next w:val="BodyText"/>
    <w:qFormat/>
    <w:pPr>
      <w:spacing w:before="240" w:after="240"/>
      <w:ind w:firstLine="5040" w:start="0" w:end="0"/>
    </w:pPr>
    <w:rPr/>
  </w:style>
  <w:style w:type="paragraph" w:styleId="Heading9Para">
    <w:name w:val="Heading9Para"/>
    <w:basedOn w:val="BodyText"/>
    <w:next w:val="BodyText"/>
    <w:qFormat/>
    <w:pPr>
      <w:spacing w:before="24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lineRule="exact" w:line="240" w:before="240" w:after="0"/>
      <w:ind w:hanging="0" w:start="1440" w:end="1440"/>
    </w:pPr>
    <w:rPr/>
  </w:style>
  <w:style w:type="paragraph" w:styleId="FlushLeft">
    <w:name w:val="Flush Left"/>
    <w:basedOn w:val="Normal"/>
    <w:qFormat/>
    <w:pPr>
      <w:spacing w:before="240" w:after="0"/>
    </w:pPr>
    <w:rPr/>
  </w:style>
  <w:style w:type="paragraph" w:styleId="FlushLeftDouble">
    <w:name w:val="Flush Left Double"/>
    <w:basedOn w:val="FlushLeft"/>
    <w:qFormat/>
    <w:pPr>
      <w:spacing w:lineRule="auto" w:line="480"/>
    </w:pPr>
    <w:rPr>
      <w:rFonts w:ascii="Times New Roman;Times New Roman" w:hAnsi="Times New Roman;Times New Roman" w:cs="Times New Roman;Times New Roman"/>
      <w:sz w:val="24"/>
    </w:rPr>
  </w:style>
  <w:style w:type="paragraph" w:styleId="FlushLeftDoublePleading">
    <w:name w:val="Flush Left Double Pleading"/>
    <w:basedOn w:val="FlushLeftDouble"/>
    <w:qFormat/>
    <w:pPr>
      <w:spacing w:lineRule="exact" w:line="480"/>
    </w:pPr>
    <w:rPr>
      <w:rFonts w:ascii="Times New Roman;Times New Roman" w:hAnsi="Times New Roman;Times New Roman" w:cs="Times New Roman;Times New Roman"/>
      <w:sz w:val="24"/>
    </w:rPr>
  </w:style>
  <w:style w:type="paragraph" w:styleId="BlockQuoteDoublePleading">
    <w:name w:val="Block Quote Double Pleading"/>
    <w:basedOn w:val="FlushLeftDoublePleading"/>
    <w:qFormat/>
    <w:pPr>
      <w:ind w:hanging="0" w:start="1440" w:end="1440"/>
    </w:pPr>
    <w:rPr>
      <w:rFonts w:ascii="Times New Roman;Times New Roman" w:hAnsi="Times New Roman;Times New Roman" w:cs="Times New Roman;Times New Roman"/>
      <w:sz w:val="24"/>
    </w:rPr>
  </w:style>
  <w:style w:type="paragraph" w:styleId="BlockQuote">
    <w:name w:val="Block Quote"/>
    <w:basedOn w:val="FlushLeft"/>
    <w:qFormat/>
    <w:pPr>
      <w:ind w:hanging="0" w:start="1440" w:end="1440"/>
    </w:pPr>
    <w:rPr>
      <w:rFonts w:ascii="Times New Roman;Times New Roman" w:hAnsi="Times New Roman;Times New Roman" w:cs="Times New Roman;Times New Roman"/>
      <w:sz w:val="24"/>
    </w:rPr>
  </w:style>
  <w:style w:type="paragraph" w:styleId="BlockQuoteDouble">
    <w:name w:val="Block Quote Double"/>
    <w:basedOn w:val="BlockQuote"/>
    <w:qFormat/>
    <w:pPr>
      <w:spacing w:lineRule="auto" w:line="480"/>
    </w:pPr>
    <w:rPr>
      <w:rFonts w:ascii="Times New Roman;Times New Roman" w:hAnsi="Times New Roman;Times New Roman" w:cs="Times New Roman;Times New Roman"/>
      <w:sz w:val="24"/>
    </w:rPr>
  </w:style>
  <w:style w:type="paragraph" w:styleId="BlockQuotePleading">
    <w:name w:val="Block Quote Pleading"/>
    <w:basedOn w:val="BlockQuote"/>
    <w:qFormat/>
    <w:pPr/>
    <w:rPr>
      <w:rFonts w:ascii="Times New Roman;Times New Roman" w:hAnsi="Times New Roman;Times New Roman" w:cs="Times New Roman;Times New Roman"/>
      <w:sz w:val="24"/>
    </w:rPr>
  </w:style>
  <w:style w:type="paragraph" w:styleId="BodyTextPleading">
    <w:name w:val="Body Text Pleading"/>
    <w:basedOn w:val="BodyText"/>
    <w:qFormat/>
    <w:pPr>
      <w:spacing w:lineRule="exact" w:line="240"/>
    </w:pPr>
    <w:rPr/>
  </w:style>
  <w:style w:type="paragraph" w:styleId="BodyTextDoublePleading">
    <w:name w:val="Body Text Double Pleading"/>
    <w:basedOn w:val="BodyTextPleading"/>
    <w:qFormat/>
    <w:pPr>
      <w:spacing w:lineRule="exact" w:line="480" w:before="0" w:after="0"/>
    </w:pPr>
    <w:rPr/>
  </w:style>
  <w:style w:type="paragraph" w:styleId="BodyTextContinuedDoublePleading">
    <w:name w:val="Body Text Continued Double Pleading"/>
    <w:basedOn w:val="BodyTextDoublePleading"/>
    <w:qFormat/>
    <w:pPr>
      <w:ind w:hanging="0" w:start="0" w:end="0"/>
    </w:pPr>
    <w:rPr/>
  </w:style>
  <w:style w:type="paragraph" w:styleId="BodyTextContinuedDouble">
    <w:name w:val="Body Text Continued Double"/>
    <w:basedOn w:val="BodyTextContinued"/>
    <w:qFormat/>
    <w:pPr>
      <w:spacing w:lineRule="auto" w:line="480"/>
    </w:pPr>
    <w:rPr/>
  </w:style>
  <w:style w:type="paragraph" w:styleId="BodyTextContinuedPleading">
    <w:name w:val="Body Text Continued Pleading"/>
    <w:basedOn w:val="BodyTextContinued"/>
    <w:qFormat/>
    <w:pPr>
      <w:spacing w:lineRule="exact" w:line="240"/>
    </w:pPr>
    <w:rPr/>
  </w:style>
  <w:style w:type="paragraph" w:styleId="BodyTextDouble">
    <w:name w:val="Body Text Double"/>
    <w:basedOn w:val="BodyText"/>
    <w:qFormat/>
    <w:pPr>
      <w:spacing w:lineRule="auto" w:line="480"/>
    </w:pPr>
    <w:rPr/>
  </w:style>
  <w:style w:type="paragraph" w:styleId="CenteredPleading">
    <w:name w:val="Centered Pleading"/>
    <w:basedOn w:val="FlushLeft"/>
    <w:qFormat/>
    <w:pPr>
      <w:spacing w:lineRule="exact" w:line="240"/>
      <w:jc w:val="center"/>
    </w:pPr>
    <w:rPr>
      <w:rFonts w:ascii="Times New Roman;Times New Roman" w:hAnsi="Times New Roman;Times New Roman" w:cs="Times New Roman;Times New Roman"/>
      <w:sz w:val="24"/>
    </w:rPr>
  </w:style>
  <w:style w:type="paragraph" w:styleId="CenteredDoublePleading">
    <w:name w:val="Centered Double Pleading"/>
    <w:basedOn w:val="CenteredPleading"/>
    <w:qFormat/>
    <w:pPr>
      <w:spacing w:lineRule="exact" w:line="480"/>
    </w:pPr>
    <w:rPr>
      <w:rFonts w:ascii="Times New Roman;Times New Roman" w:hAnsi="Times New Roman;Times New Roman" w:cs="Times New Roman;Times New Roman"/>
      <w:sz w:val="24"/>
    </w:rPr>
  </w:style>
  <w:style w:type="paragraph" w:styleId="CenteredBoldDoublePleading">
    <w:name w:val="Centered Bold Double Pleading"/>
    <w:basedOn w:val="CenteredDoublePleading"/>
    <w:qFormat/>
    <w:pPr/>
    <w:rPr>
      <w:rFonts w:ascii="Times New Roman;Times New Roman" w:hAnsi="Times New Roman;Times New Roman" w:cs="Times New Roman;Times New Roman"/>
      <w:b/>
      <w:sz w:val="24"/>
    </w:rPr>
  </w:style>
  <w:style w:type="paragraph" w:styleId="CenteredBold">
    <w:name w:val="Centered Bold"/>
    <w:basedOn w:val="FlushLeft"/>
    <w:qFormat/>
    <w:pPr>
      <w:jc w:val="center"/>
    </w:pPr>
    <w:rPr>
      <w:rFonts w:ascii="Times New Roman;Times New Roman" w:hAnsi="Times New Roman;Times New Roman" w:cs="Times New Roman;Times New Roman"/>
      <w:b/>
      <w:sz w:val="24"/>
    </w:rPr>
  </w:style>
  <w:style w:type="paragraph" w:styleId="CenteredBoldDouble">
    <w:name w:val="Centered Bold Double"/>
    <w:basedOn w:val="CenteredBold"/>
    <w:qFormat/>
    <w:pPr>
      <w:spacing w:lineRule="auto" w:line="480"/>
    </w:pPr>
    <w:rPr>
      <w:rFonts w:ascii="Times New Roman;Times New Roman" w:hAnsi="Times New Roman;Times New Roman" w:cs="Times New Roman;Times New Roman"/>
      <w:sz w:val="24"/>
    </w:rPr>
  </w:style>
  <w:style w:type="paragraph" w:styleId="CenteredBoldPleading">
    <w:name w:val="Centered Bold Pleading"/>
    <w:basedOn w:val="CenteredPleading"/>
    <w:qFormat/>
    <w:pPr/>
    <w:rPr>
      <w:rFonts w:ascii="Times New Roman;Times New Roman" w:hAnsi="Times New Roman;Times New Roman" w:cs="Times New Roman;Times New Roman"/>
      <w:b/>
      <w:sz w:val="24"/>
    </w:rPr>
  </w:style>
  <w:style w:type="paragraph" w:styleId="CenteredDouble">
    <w:name w:val="Centered Double"/>
    <w:basedOn w:val="Centered"/>
    <w:qFormat/>
    <w:pPr>
      <w:spacing w:lineRule="auto" w:line="480"/>
    </w:pPr>
    <w:rPr/>
  </w:style>
  <w:style w:type="paragraph" w:styleId="CenteredUnderlineDoublePleading">
    <w:name w:val="Centered Underline Double Pleading"/>
    <w:basedOn w:val="CenteredBoldDoublePleading"/>
    <w:qFormat/>
    <w:pPr>
      <w:spacing w:lineRule="exact" w:line="240"/>
      <w:jc w:val="start"/>
    </w:pPr>
    <w:rPr>
      <w:b w:val="false"/>
      <w:u w:val="single"/>
    </w:rPr>
  </w:style>
  <w:style w:type="paragraph" w:styleId="CenteredUnderlinePleading">
    <w:name w:val="Centered Underline Pleading"/>
    <w:basedOn w:val="Centered"/>
    <w:qFormat/>
    <w:pPr/>
    <w:rPr>
      <w:u w:val="single"/>
    </w:rPr>
  </w:style>
  <w:style w:type="paragraph" w:styleId="CenteredUnderlined">
    <w:name w:val="Centered Underlined"/>
    <w:basedOn w:val="Centered"/>
    <w:qFormat/>
    <w:pPr/>
    <w:rPr>
      <w:u w:val="single"/>
    </w:rPr>
  </w:style>
  <w:style w:type="paragraph" w:styleId="CenteredUnderlinedDouble">
    <w:name w:val="Centered Underlined Double"/>
    <w:basedOn w:val="CenteredUnderlined"/>
    <w:qFormat/>
    <w:pPr>
      <w:spacing w:lineRule="auto" w:line="480"/>
    </w:pPr>
    <w:rPr/>
  </w:style>
  <w:style w:type="paragraph" w:styleId="FlushLeftPleading">
    <w:name w:val="Flush Left Pleading"/>
    <w:basedOn w:val="FlushLeft"/>
    <w:qFormat/>
    <w:pPr>
      <w:spacing w:lineRule="exact" w:line="240"/>
    </w:pPr>
    <w:rPr>
      <w:rFonts w:ascii="Times New Roman;Times New Roman" w:hAnsi="Times New Roman;Times New Roman" w:cs="Times New Roman;Times New Roman"/>
      <w:sz w:val="24"/>
    </w:rPr>
  </w:style>
  <w:style w:type="paragraph" w:styleId="HeadingTitleDoublePleading">
    <w:name w:val="Heading Title Double Pleading"/>
    <w:basedOn w:val="Normal"/>
    <w:qFormat/>
    <w:pPr>
      <w:spacing w:lineRule="exact" w:line="480"/>
    </w:pPr>
    <w:rPr>
      <w:b/>
      <w:u w:val="single"/>
    </w:rPr>
  </w:style>
  <w:style w:type="paragraph" w:styleId="HeadingTitle">
    <w:name w:val="Heading Title"/>
    <w:basedOn w:val="FlushLeft"/>
    <w:qFormat/>
    <w:pPr>
      <w:jc w:val="center"/>
    </w:pPr>
    <w:rPr>
      <w:b/>
      <w:u w:val="single"/>
    </w:rPr>
  </w:style>
  <w:style w:type="paragraph" w:styleId="HeadingTitleDouble">
    <w:name w:val="Heading Title Double"/>
    <w:basedOn w:val="HeadingTitle"/>
    <w:qFormat/>
    <w:pPr>
      <w:spacing w:lineRule="auto" w:line="480"/>
    </w:pPr>
    <w:rPr/>
  </w:style>
  <w:style w:type="paragraph" w:styleId="HeadingTitlePleading">
    <w:name w:val="Heading Title Pleading"/>
    <w:basedOn w:val="CenteredBold"/>
    <w:qFormat/>
    <w:pPr/>
    <w:rPr>
      <w:u w:val="single"/>
    </w:rPr>
  </w:style>
  <w:style w:type="paragraph" w:styleId="QuoteDoublePleading">
    <w:name w:val="Quote Double Pleading"/>
    <w:basedOn w:val="FlushLeft"/>
    <w:qFormat/>
    <w:pPr>
      <w:spacing w:lineRule="exact" w:line="480"/>
      <w:ind w:hanging="0" w:start="1440" w:end="0"/>
    </w:pPr>
    <w:rPr/>
  </w:style>
  <w:style w:type="paragraph" w:styleId="QuoteDouble">
    <w:name w:val="Quote Double"/>
    <w:basedOn w:val="Quote"/>
    <w:qFormat/>
    <w:pPr>
      <w:spacing w:lineRule="auto" w:line="480"/>
    </w:pPr>
    <w:rPr/>
  </w:style>
  <w:style w:type="paragraph" w:styleId="QuotePleading">
    <w:name w:val="Quote Pleading"/>
    <w:basedOn w:val="Quote"/>
    <w:qFormat/>
    <w:pPr/>
    <w:rPr/>
  </w:style>
  <w:style w:type="paragraph" w:styleId="Re">
    <w:name w:val="Re"/>
    <w:basedOn w:val="FlushLeft"/>
    <w:qFormat/>
    <w:pPr>
      <w:ind w:hanging="720" w:start="2160" w:end="0"/>
    </w:pPr>
    <w:rPr/>
  </w:style>
  <w:style w:type="paragraph" w:styleId="Recital">
    <w:name w:val="Recital"/>
    <w:basedOn w:val="FlushLeft"/>
    <w:qFormat/>
    <w:pPr>
      <w:jc w:val="center"/>
    </w:pPr>
    <w:rPr>
      <w:b/>
      <w:caps/>
    </w:rPr>
  </w:style>
  <w:style w:type="paragraph" w:styleId="Signature">
    <w:name w:val="Signature"/>
    <w:basedOn w:val="Normal"/>
    <w:pPr>
      <w:tabs>
        <w:tab w:val="clear" w:pos="720"/>
        <w:tab w:val="left" w:pos="4770" w:leader="none"/>
        <w:tab w:val="right" w:pos="9360" w:leader="none"/>
      </w:tabs>
      <w:spacing w:before="360" w:after="0"/>
      <w:ind w:hanging="0" w:start="4320" w:end="0"/>
    </w:pPr>
    <w:rPr>
      <w:lang w:eastAsia="en-US"/>
    </w:rPr>
  </w:style>
  <w:style w:type="paragraph" w:styleId="FlushRight">
    <w:name w:val="Flush Right"/>
    <w:basedOn w:val="FlushLeft"/>
    <w:qFormat/>
    <w:pPr>
      <w:spacing w:before="0" w:after="0"/>
      <w:jc w:val="end"/>
    </w:pPr>
    <w:rPr/>
  </w:style>
  <w:style w:type="paragraph" w:styleId="Date">
    <w:name w:val="Date"/>
    <w:basedOn w:val="Normal"/>
    <w:next w:val="Normal"/>
    <w:qFormat/>
    <w:pPr>
      <w:tabs>
        <w:tab w:val="clear" w:pos="720"/>
        <w:tab w:val="left" w:pos="4320" w:leader="none"/>
      </w:tabs>
      <w:spacing w:before="240" w:after="0"/>
    </w:pPr>
    <w:rPr/>
  </w:style>
  <w:style w:type="paragraph" w:styleId="Bullet">
    <w:name w:val="Bullet"/>
    <w:basedOn w:val="Normal"/>
    <w:qFormat/>
    <w:pPr>
      <w:tabs>
        <w:tab w:val="clear" w:pos="720"/>
        <w:tab w:val="left" w:pos="1080" w:leader="none"/>
      </w:tabs>
      <w:ind w:hanging="0" w:start="720" w:end="0"/>
    </w:pPr>
    <w:rPr>
      <w:rFonts w:ascii="Book Antiqua" w:hAnsi="Book Antiqua" w:cs="Book Antiqua"/>
      <w:sz w:val="20"/>
    </w:rPr>
  </w:style>
  <w:style w:type="paragraph" w:styleId="FlushLef2">
    <w:name w:val="Flush Lef2"/>
    <w:basedOn w:val="FlushLeft"/>
    <w:qFormat/>
    <w:pPr/>
    <w:rPr>
      <w:rFonts w:ascii="Book Antiqua" w:hAnsi="Book Antiqua" w:cs="Book Antiqua"/>
      <w:b/>
      <w:sz w:val="20"/>
    </w:rPr>
  </w:style>
  <w:style w:type="paragraph" w:styleId="FlushLeftSpecial">
    <w:name w:val="FlushLeftSpecial"/>
    <w:basedOn w:val="FlushLeft"/>
    <w:qFormat/>
    <w:pPr>
      <w:ind w:hanging="522" w:start="522" w:end="0"/>
    </w:pPr>
    <w:rPr/>
  </w:style>
  <w:style w:type="paragraph" w:styleId="Header2">
    <w:name w:val="Header2"/>
    <w:basedOn w:val="Header"/>
    <w:qFormat/>
    <w:pPr>
      <w:spacing w:before="0" w:after="360"/>
    </w:pPr>
    <w:rPr>
      <w:b/>
      <w:i/>
      <w:sz w:val="32"/>
    </w:rPr>
  </w:style>
  <w:style w:type="paragraph" w:styleId="PlainText">
    <w:name w:val="Plain Text"/>
    <w:basedOn w:val="Normal"/>
    <w:qFormat/>
    <w:pPr/>
    <w:rPr>
      <w:rFonts w:ascii="Courier New" w:hAnsi="Courier New" w:cs="Courier New"/>
      <w:sz w:val="20"/>
    </w:rPr>
  </w:style>
  <w:style w:type="paragraph" w:styleId="NumContinue">
    <w:name w:val="Num Continue"/>
    <w:basedOn w:val="BodyText"/>
    <w:qFormat/>
    <w:pPr>
      <w:spacing w:before="240" w:after="240"/>
    </w:pPr>
    <w:rPr/>
  </w:style>
  <w:style w:type="paragraph" w:styleId="Pleading1L1">
    <w:name w:val="Pleading1_L1"/>
    <w:basedOn w:val="Normal"/>
    <w:next w:val="BodyText"/>
    <w:qFormat/>
    <w:pPr>
      <w:numPr>
        <w:ilvl w:val="0"/>
        <w:numId w:val="2"/>
      </w:numPr>
      <w:spacing w:before="240" w:after="0"/>
      <w:outlineLvl w:val="0"/>
    </w:pPr>
    <w:rPr>
      <w:u w:val="single"/>
    </w:rPr>
  </w:style>
  <w:style w:type="paragraph" w:styleId="Pleading1L2">
    <w:name w:val="Pleading1_L2"/>
    <w:basedOn w:val="Pleading1L1"/>
    <w:next w:val="BodyText"/>
    <w:qFormat/>
    <w:pPr>
      <w:keepNext w:val="false"/>
      <w:keepLines w:val="false"/>
      <w:numPr>
        <w:ilvl w:val="0"/>
        <w:numId w:val="2"/>
      </w:numPr>
      <w:outlineLvl w:val="1"/>
    </w:pPr>
    <w:rPr>
      <w:u w:val="none"/>
    </w:rPr>
  </w:style>
  <w:style w:type="paragraph" w:styleId="Pleading1L3">
    <w:name w:val="Pleading1_L3"/>
    <w:basedOn w:val="Pleading1L2"/>
    <w:next w:val="BodyText"/>
    <w:qFormat/>
    <w:pPr>
      <w:keepNext w:val="false"/>
      <w:keepLines w:val="false"/>
      <w:numPr>
        <w:ilvl w:val="0"/>
        <w:numId w:val="2"/>
      </w:numPr>
      <w:outlineLvl w:val="2"/>
    </w:pPr>
    <w:rPr>
      <w:b/>
      <w:u w:val="none"/>
    </w:rPr>
  </w:style>
  <w:style w:type="paragraph" w:styleId="Pleading1L4">
    <w:name w:val="Pleading1_L4"/>
    <w:basedOn w:val="Pleading1L3"/>
    <w:next w:val="BodyText"/>
    <w:qFormat/>
    <w:pPr>
      <w:numPr>
        <w:ilvl w:val="0"/>
        <w:numId w:val="2"/>
      </w:numPr>
      <w:outlineLvl w:val="3"/>
    </w:pPr>
    <w:rPr/>
  </w:style>
  <w:style w:type="paragraph" w:styleId="Pleading1L5">
    <w:name w:val="Pleading1_L5"/>
    <w:basedOn w:val="Pleading1L4"/>
    <w:next w:val="BodyText"/>
    <w:qFormat/>
    <w:pPr>
      <w:numPr>
        <w:ilvl w:val="0"/>
        <w:numId w:val="2"/>
      </w:numPr>
      <w:outlineLvl w:val="4"/>
    </w:pPr>
    <w:rPr/>
  </w:style>
  <w:style w:type="paragraph" w:styleId="Pleading1L6">
    <w:name w:val="Pleading1_L6"/>
    <w:basedOn w:val="Pleading1L5"/>
    <w:next w:val="BodyText"/>
    <w:qFormat/>
    <w:pPr>
      <w:numPr>
        <w:ilvl w:val="0"/>
        <w:numId w:val="2"/>
      </w:numPr>
      <w:outlineLvl w:val="5"/>
    </w:pPr>
    <w:rPr/>
  </w:style>
  <w:style w:type="paragraph" w:styleId="Pleading1L7">
    <w:name w:val="Pleading1_L7"/>
    <w:basedOn w:val="Pleading1L6"/>
    <w:next w:val="BodyText"/>
    <w:qFormat/>
    <w:pPr>
      <w:numPr>
        <w:ilvl w:val="0"/>
        <w:numId w:val="0"/>
      </w:numPr>
      <w:tabs>
        <w:tab w:val="clear" w:pos="720"/>
        <w:tab w:val="left" w:pos="1530" w:leader="none"/>
      </w:tabs>
      <w:ind w:firstLine="720" w:start="720" w:end="0"/>
      <w:outlineLvl w:val="6"/>
    </w:pPr>
    <w:rPr/>
  </w:style>
  <w:style w:type="paragraph" w:styleId="Pleading1L8">
    <w:name w:val="Pleading1_L8"/>
    <w:basedOn w:val="Pleading1L7"/>
    <w:next w:val="BodyText"/>
    <w:qFormat/>
    <w:pPr>
      <w:numPr>
        <w:ilvl w:val="0"/>
        <w:numId w:val="2"/>
      </w:numPr>
      <w:outlineLvl w:val="7"/>
    </w:pPr>
    <w:rPr/>
  </w:style>
  <w:style w:type="paragraph" w:styleId="Pleading1L9">
    <w:name w:val="Pleading1_L9"/>
    <w:basedOn w:val="Pleading1L8"/>
    <w:next w:val="BodyText"/>
    <w:qFormat/>
    <w:pPr>
      <w:numPr>
        <w:ilvl w:val="0"/>
        <w:numId w:val="2"/>
      </w:numPr>
      <w:outlineLvl w:val="8"/>
    </w:pPr>
    <w:rPr/>
  </w:style>
  <w:style w:type="paragraph" w:styleId="NoticeAddress">
    <w:name w:val="Notice Address"/>
    <w:basedOn w:val="Normal"/>
    <w:qFormat/>
    <w:pPr>
      <w:tabs>
        <w:tab w:val="clear" w:pos="720"/>
        <w:tab w:val="left" w:pos="3960" w:leader="none"/>
        <w:tab w:val="left" w:pos="4500" w:leader="none"/>
      </w:tabs>
      <w:spacing w:before="240" w:after="0"/>
      <w:ind w:hanging="0" w:start="2880" w:end="0"/>
    </w:pPr>
    <w:rPr/>
  </w:style>
  <w:style w:type="paragraph" w:styleId="BodyTextDoubleIndent">
    <w:name w:val="Body Text Double Indent"/>
    <w:basedOn w:val="BodyTextIndent"/>
    <w:qFormat/>
    <w:pPr>
      <w:spacing w:before="0" w:after="240"/>
      <w:ind w:firstLine="720" w:start="1440" w:end="0"/>
    </w:pPr>
    <w:rPr/>
  </w:style>
  <w:style w:type="paragraph" w:styleId="NoticeAddressHanging">
    <w:name w:val="Notice Address Hanging"/>
    <w:basedOn w:val="BodyText"/>
    <w:qFormat/>
    <w:pPr>
      <w:tabs>
        <w:tab w:val="clear" w:pos="720"/>
        <w:tab w:val="left" w:pos="6210" w:leader="none"/>
      </w:tabs>
      <w:ind w:hanging="3600" w:start="50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2000-11-13T20:47:00Z</dcterms:created>
  <dc:creator>John Holt</dc:creator>
  <dc:description/>
  <dc:language>en-CA</dc:language>
  <cp:lastModifiedBy>LGarner</cp:lastModifiedBy>
  <cp:lastPrinted>1999-12-22T16:46:00Z</cp:lastPrinted>
  <dcterms:modified xsi:type="dcterms:W3CDTF">2000-11-13T20:47:00Z</dcterms:modified>
  <cp:revision>2</cp:revision>
  <dc:subject/>
  <dc:title>EXHIBIT E-12</dc:title>
</cp:coreProperties>
</file>