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ocumentTitle"/>
        <w:rPr>
          <w:caps w:val="false"/>
          <w:smallCaps w:val="false"/>
        </w:rPr>
      </w:pPr>
      <w:r>
        <w:rPr>
          <w:caps w:val="false"/>
          <w:smallCaps w:val="false"/>
        </w:rPr>
        <w:t>Agreement and First Amendment to</w:t>
        <w:br/>
        <w:t xml:space="preserve">Renewable Energy Purchase Agreement </w:t>
      </w:r>
    </w:p>
    <w:p>
      <w:pPr>
        <w:pStyle w:val="BodyTextFirstIndent"/>
        <w:rPr/>
      </w:pPr>
      <w:r>
        <w:rPr/>
        <w:t>This Agreement and First Amendment to Renewable Energy Purchase Agreement (“</w:t>
      </w:r>
      <w:r>
        <w:rPr>
          <w:u w:val="single"/>
        </w:rPr>
        <w:t>Agreement and First Amendment</w:t>
      </w:r>
      <w:r>
        <w:rPr/>
        <w:t xml:space="preserve">”), dated as of July __, 2001, is between </w:t>
      </w:r>
      <w:r>
        <w:rPr>
          <w:b/>
        </w:rPr>
        <w:t>Enron Power Marketing, Inc.</w:t>
      </w:r>
      <w:r>
        <w:rPr/>
        <w:t>, a Delaware corporation (“</w:t>
      </w:r>
      <w:r>
        <w:rPr>
          <w:u w:val="single"/>
        </w:rPr>
        <w:t>Purchaser</w:t>
      </w:r>
      <w:r>
        <w:rPr/>
        <w:t xml:space="preserve">”), and </w:t>
      </w:r>
      <w:r>
        <w:rPr>
          <w:b/>
        </w:rPr>
        <w:t>Indian Mesa Power Partners II LP</w:t>
      </w:r>
      <w:r>
        <w:rPr/>
        <w:t>, a Delaware limited partnership (“</w:t>
      </w:r>
      <w:r>
        <w:rPr>
          <w:u w:val="single"/>
        </w:rPr>
        <w:t>Seller</w:t>
      </w:r>
      <w:r>
        <w:rPr/>
        <w:t>”; together with Purchaser, referred to in this Agreement and First Amendment, collectively as the “</w:t>
      </w:r>
      <w:r>
        <w:rPr>
          <w:u w:val="single"/>
        </w:rPr>
        <w:t>Parties</w:t>
      </w:r>
      <w:r>
        <w:rPr/>
        <w:t>” and, each of Purchaser and Seller are individually referred to in this Agreement and First Amendment, as a “</w:t>
      </w:r>
      <w:r>
        <w:rPr>
          <w:u w:val="single"/>
        </w:rPr>
        <w:t>Party</w:t>
      </w:r>
      <w:r>
        <w:rPr/>
        <w:t>”).</w:t>
      </w:r>
    </w:p>
    <w:p>
      <w:pPr>
        <w:pStyle w:val="BoldCapCenter"/>
        <w:rPr/>
      </w:pPr>
      <w:r>
        <w:rPr/>
        <w:t>RECITALS</w:t>
      </w:r>
    </w:p>
    <w:p>
      <w:pPr>
        <w:pStyle w:val="BodyTextFirstIndent"/>
        <w:rPr/>
      </w:pPr>
      <w:r>
        <w:rPr>
          <w:b/>
        </w:rPr>
        <w:t>WHEREAS</w:t>
      </w:r>
      <w:r>
        <w:rPr/>
        <w:t>, Seller and Purchaser have entered into a Renewable Energy Purchase Agreement, dated as of January 10, 2001 (the “</w:t>
      </w:r>
      <w:r>
        <w:rPr>
          <w:u w:val="single"/>
        </w:rPr>
        <w:t>Renewable Energy Purchase Agreement</w:t>
      </w:r>
      <w:r>
        <w:rPr/>
        <w:t>”);</w:t>
      </w:r>
    </w:p>
    <w:p>
      <w:pPr>
        <w:pStyle w:val="BodyTextFirstIndent"/>
        <w:rPr/>
      </w:pPr>
      <w:r>
        <w:rPr>
          <w:b/>
        </w:rPr>
        <w:t>WHEREAS</w:t>
      </w:r>
      <w:r>
        <w:rPr/>
        <w:t>, Seller and Purchaser mutually desire to amend certain provisions of the Renewable Energy Purchase Agreement, including those provisions related to the carry-forward of the balance from prior years in the “bank” of sales of electric renewable energy capacity and related renewable energy credits and confirm the understanding of the Parties that uncontrollable forces do not deplete the balance in such “bank” under the Renewable Energy Purchase Agreement, in each case as provided in this Agreement and First Amendment;</w:t>
      </w:r>
    </w:p>
    <w:p>
      <w:pPr>
        <w:pStyle w:val="BodyTextFirstIndent"/>
        <w:rPr/>
      </w:pPr>
      <w:r>
        <w:rPr>
          <w:b/>
        </w:rPr>
        <w:t>NOW, THEREFORE</w:t>
      </w:r>
      <w:r>
        <w:rPr/>
        <w:t>, for good and valuable consideration, the receipt and adequacy of which is hereby acknowledged, the Parties agree as follows:</w:t>
      </w:r>
    </w:p>
    <w:p>
      <w:pPr>
        <w:pStyle w:val="Heading1"/>
        <w:ind w:hanging="0" w:start="0"/>
        <w:rPr/>
      </w:pPr>
      <w:r>
        <w:rPr/>
        <w:t>Certain Definitions</w:t>
      </w:r>
    </w:p>
    <w:p>
      <w:pPr>
        <w:pStyle w:val="BlockText"/>
        <w:rPr/>
      </w:pPr>
      <w:r>
        <w:rPr/>
        <w:t>Except as otherwise defined herein, all capitalized terms used herein have the respective meanings ascribed to such terms in the Renewable Energy Purchase Agreement.</w:t>
      </w:r>
    </w:p>
    <w:p>
      <w:pPr>
        <w:pStyle w:val="Heading1"/>
        <w:ind w:hanging="0" w:start="0"/>
        <w:rPr/>
      </w:pPr>
      <w:r>
        <w:rPr/>
        <w:t>Amendments</w:t>
      </w:r>
    </w:p>
    <w:p>
      <w:pPr>
        <w:pStyle w:val="Heading2"/>
        <w:ind w:hanging="0" w:start="0"/>
        <w:rPr/>
      </w:pPr>
      <w:r>
        <w:rPr/>
        <w:t>Section 4.04(b) of the Renewable Energy Purchase Agreement is hereby amended and restated in its entirety as follows:</w:t>
      </w:r>
    </w:p>
    <w:p>
      <w:pPr>
        <w:pStyle w:val="BodyHang5"/>
        <w:rPr/>
      </w:pPr>
      <w:r>
        <w:rPr/>
        <w:t xml:space="preserve"> “</w:t>
      </w:r>
      <w:r>
        <w:rPr/>
        <w:t>(b)</w:t>
        <w:tab/>
        <w:t>For purposes of this Agreement, the “</w:t>
      </w:r>
      <w:r>
        <w:rPr>
          <w:u w:val="single"/>
        </w:rPr>
        <w:t>Annual Excess</w:t>
      </w:r>
      <w:r>
        <w:rPr/>
        <w:t xml:space="preserve">” shall mean, (i) for the Contract Year ended April 30, 2003, the amount (rounded to the nearest MWh), if any, by which the Renewable Energy produced by the Facility and delivered to Purchaser at the Delivery Point in the period from the Start Date (inclusive) through April 30, 2003 exceeds the Annual Quantity for the Contract Year ended April 30, 2003, and (ii) for each Contract Year occurring thereafter, the amount (rounded to the nearest MWh), if any, by which the Renewable Energy produced by the Facility and delivered to Purchaser at the Delivery Point in such Contract Year exceeds the Annual Quantity in such Contract Year, subject to adjustment as provided in </w:t>
      </w:r>
      <w:r>
        <w:rPr>
          <w:u w:val="single"/>
        </w:rPr>
        <w:t>Section 4.04(c)</w:t>
      </w:r>
      <w:r>
        <w:rPr/>
        <w:t>.”</w:t>
      </w:r>
    </w:p>
    <w:p>
      <w:pPr>
        <w:pStyle w:val="Heading2"/>
        <w:ind w:hanging="0" w:start="0"/>
        <w:rPr/>
      </w:pPr>
      <w:r>
        <w:rPr/>
        <w:t>Section 4.04(c) of the Renewable Energy Purchase Agreement is hereby amended and restated in its entirety as follows:</w:t>
      </w:r>
    </w:p>
    <w:p>
      <w:pPr>
        <w:pStyle w:val="BodyHang5"/>
        <w:rPr/>
      </w:pPr>
      <w:r>
        <w:rPr/>
        <w:t>“</w:t>
      </w:r>
      <w:r>
        <w:rPr/>
        <w:t>(c)</w:t>
        <w:tab/>
        <w:t xml:space="preserve">If the Renewable Energy together with Transferred Renewable Energy (as defined below) delivered to Purchaser at the Delivery Point in any Contract Year (beginning with the Contract Year ended April 30, 2003) is less than the Adjusted Annual Quantity (as defined in </w:t>
      </w:r>
      <w:r>
        <w:rPr>
          <w:u w:val="single"/>
        </w:rPr>
        <w:t>Section 4.05</w:t>
      </w:r>
      <w:r>
        <w:rPr/>
        <w:t>) for such Contract Year, the amount by which the Adjusted Annual Quantity for such Contract Year exceeds the amount of Renewable Energy together with Transferred Renewable Energy delivered to Purchaser at the Delivery Point in such Contract Year is called the “</w:t>
      </w:r>
      <w:r>
        <w:rPr>
          <w:u w:val="single"/>
        </w:rPr>
        <w:t>Annual Deficiency</w:t>
      </w:r>
      <w:r>
        <w:rPr/>
        <w:t xml:space="preserve">,” the Annual Deficiency for such Contract Year shall then be compared to the cumulative Annual Excess (if any) for all previous Contract Years to determine Seller’s liability, if any, for Deficiency Payments under </w:t>
      </w:r>
      <w:r>
        <w:rPr>
          <w:u w:val="single"/>
        </w:rPr>
        <w:t>Section 4.04(e)</w:t>
      </w:r>
      <w:r>
        <w:rPr/>
        <w:t xml:space="preserve"> based on the following procedure:</w:t>
      </w:r>
    </w:p>
    <w:p>
      <w:pPr>
        <w:pStyle w:val="BodyHang1"/>
        <w:rPr/>
      </w:pPr>
      <w:r>
        <w:rPr/>
        <w:t>(i)</w:t>
        <w:tab/>
        <w:t xml:space="preserve">If the Annual Deficiency for such Contract Year is less than the cumulative Annual Excess (if any) for all previous Contract Years, then the amount by which such cumulative Annual Excess exceeds such Annual Deficiency shall thereafter be deemed to be the Annual Excess for such Contract Year and the Annual Excess for all previous Contract Years shall thereafter be deemed to equal zero for purposes of comparing the Annual Deficiency (if any) for any subsequent Contract Year to the cumulative Annual Excess for all previous Contract Years under this </w:t>
      </w:r>
      <w:r>
        <w:rPr>
          <w:u w:val="single"/>
        </w:rPr>
        <w:t>Section 4.04(c)</w:t>
      </w:r>
      <w:r>
        <w:rPr/>
        <w:t>.</w:t>
      </w:r>
    </w:p>
    <w:p>
      <w:pPr>
        <w:pStyle w:val="BodyHang1"/>
        <w:numPr>
          <w:ilvl w:val="0"/>
          <w:numId w:val="12"/>
        </w:numPr>
        <w:rPr/>
      </w:pPr>
      <w:r>
        <w:rPr/>
        <w:t xml:space="preserve">If the Annual Deficiency for such Contract Year is greater than the cumulative Annual Excess (if any) for all previous Contract Years, then the amount by which such Annual Deficiency exceeds such cumulative Annual Excess shall be the Net Annual Deficiency for such Contract Year, the Annual Excess for such Contract Year shall be zero and the Annual Excess for all previous Contract Years shall thereafter be deemed to equal zero for purposes of comparing the Annual Deficiency (if any) for any subsequent Contract Year to the cumulative Annual Excess for all previous Contract Years under this </w:t>
      </w:r>
      <w:r>
        <w:rPr>
          <w:u w:val="single"/>
        </w:rPr>
        <w:t>Section 4.04(c)</w:t>
      </w:r>
      <w:r>
        <w:rPr/>
        <w:t>.”</w:t>
      </w:r>
    </w:p>
    <w:p>
      <w:pPr>
        <w:pStyle w:val="Heading2"/>
        <w:numPr>
          <w:ilvl w:val="0"/>
          <w:numId w:val="0"/>
        </w:numPr>
        <w:ind w:hanging="0" w:start="0"/>
        <w:rPr/>
      </w:pPr>
      <w:r>
        <w:rPr/>
      </w:r>
    </w:p>
    <w:p>
      <w:pPr>
        <w:pStyle w:val="Heading2"/>
        <w:ind w:hanging="0" w:start="0"/>
        <w:rPr/>
      </w:pPr>
      <w:r>
        <w:rPr/>
        <w:t>Section 5.05 (a) of the Renewable Energy Purchase Agreement is hereby amended by adding the following words to the end of the fifth sentence thereof: “in either case, with a creditworthy and experienced counterparty at least equivalent to Enron Corp.”</w:t>
      </w:r>
    </w:p>
    <w:p>
      <w:pPr>
        <w:pStyle w:val="BodyText"/>
        <w:ind w:hanging="720" w:start="720" w:end="0"/>
        <w:rPr/>
      </w:pPr>
      <w:r>
        <w:rPr/>
        <w:t>(d)</w:t>
        <w:tab/>
        <w:t>Section 9.03 of the Renewable Energy Purchase Agreement is hereby amended by, (i) adding the following to the end of clause (b) of the second sentence thereof: “, provided that the Purchaser Guaranty shall continue to apply to such Affiliate if it is an Affiliate of Purchaser,” and (ii) adding the following between the words “Party” and “at” in clause (c) of the second sentence thereof: “, and Enron Corp. in the case of a transfer or assignment by the Purchaser,”.</w:t>
      </w:r>
    </w:p>
    <w:p>
      <w:pPr>
        <w:pStyle w:val="BodyHang1"/>
        <w:rPr/>
      </w:pPr>
      <w:r>
        <w:rPr/>
      </w:r>
    </w:p>
    <w:p>
      <w:pPr>
        <w:pStyle w:val="Heading1"/>
        <w:ind w:hanging="0" w:start="0"/>
        <w:rPr/>
      </w:pPr>
      <w:r>
        <w:rPr/>
        <w:t>Effect of Uncontrollable Force</w:t>
      </w:r>
    </w:p>
    <w:p>
      <w:pPr>
        <w:pStyle w:val="BlockText"/>
        <w:rPr/>
      </w:pPr>
      <w:r>
        <w:rPr/>
        <w:t>The Parties acknowledge and confirm that, notwithstanding anything to the contrary in the second sentence of Section 4.05 of the Renewable Energy Purchase Agreement, (a) the amount of any Annual Deficiency is determined as provided in Section 4.04(c) of the Renewable Energy Purchase Agreement with reference to the Adjusted Annual Quantity (as such term is defined in Section 4.05 of the Renewable Energy Purchase Agreement), and not with reference to the Annual Quantity, for the relevant Contract Year, (b) Adjusted Annual Quantity means the Annual Quantity for each Contract Year reduced by the Uncontrollable Force Deficiency for such Contract Year, and (c) accordingly, the purposes for which the Annual Quantity for each Contract Year are required to be reduced by any Uncontrollable Force Deficiency for such Contract Year include determining the amount of any Annual Deficiency, as provided in Section 4.04(c) of the Renewable Energy Purchase Agreement.  For purposes of this Section 3, all references to the Renewable Energy Purchase Agreement mean the Renewable Energy Purchase Agreement both as originally executed and delivered and as amended hereby.</w:t>
      </w:r>
    </w:p>
    <w:p>
      <w:pPr>
        <w:pStyle w:val="Heading1"/>
        <w:ind w:hanging="0" w:start="0"/>
        <w:rPr/>
      </w:pPr>
      <w:r>
        <w:rPr/>
        <w:t>Reaffirmation of the Renewable Energy Purchase Agreement</w:t>
      </w:r>
    </w:p>
    <w:p>
      <w:pPr>
        <w:pStyle w:val="BlockText"/>
        <w:rPr/>
      </w:pPr>
      <w:r>
        <w:rPr/>
        <w:t>To the extent that any provision hereof conflicts with any provision of the Renewable Energy Purchase Agreement, the provisions hereof shall govern and control.  Except as expressly amended hereby, the Renewable Energy Purchase Agreement shall remain in full force and effect in accordance with its original terms.</w:t>
      </w:r>
    </w:p>
    <w:p>
      <w:pPr>
        <w:pStyle w:val="Heading1"/>
        <w:ind w:hanging="0" w:start="0"/>
        <w:rPr/>
      </w:pPr>
      <w:r>
        <w:rPr/>
        <w:t>Effective Date</w:t>
      </w:r>
    </w:p>
    <w:p>
      <w:pPr>
        <w:pStyle w:val="BlockText"/>
        <w:rPr/>
      </w:pPr>
      <w:r>
        <w:rPr/>
        <w:t>This Agreement and First Amendment shall be effective as of the date hereof.</w:t>
      </w:r>
    </w:p>
    <w:p>
      <w:pPr>
        <w:pStyle w:val="Heading1"/>
        <w:ind w:hanging="0" w:start="0"/>
        <w:rPr/>
      </w:pPr>
      <w:r>
        <w:rPr/>
        <w:t>Captions</w:t>
      </w:r>
    </w:p>
    <w:p>
      <w:pPr>
        <w:pStyle w:val="BlockText"/>
        <w:rPr/>
      </w:pPr>
      <w:r>
        <w:rPr/>
        <w:t>The captions of the various articles and sections of this Agreement and First Amendment are for convenience of reference only and do not limit or define any terms and provisions of this Agreement and First Amendment.</w:t>
      </w:r>
    </w:p>
    <w:p>
      <w:pPr>
        <w:pStyle w:val="Heading1"/>
        <w:ind w:hanging="0" w:start="0"/>
        <w:rPr/>
      </w:pPr>
      <w:r>
        <w:rPr/>
        <w:t>Governing Law</w:t>
      </w:r>
    </w:p>
    <w:p>
      <w:pPr>
        <w:pStyle w:val="BlockText"/>
        <w:rPr/>
      </w:pPr>
      <w:r>
        <w:rPr/>
        <w:t>This Agreement and First Amendment shall be governed by, and construed and enforced in accordance with, the laws of the State of Texas without regard to conflict of laws principles.</w:t>
      </w:r>
    </w:p>
    <w:p>
      <w:pPr>
        <w:pStyle w:val="Heading1"/>
        <w:ind w:hanging="0" w:start="0"/>
        <w:rPr/>
      </w:pPr>
      <w:r>
        <w:rPr/>
        <w:t>Severability</w:t>
      </w:r>
    </w:p>
    <w:p>
      <w:pPr>
        <w:pStyle w:val="BlockText"/>
        <w:rPr/>
      </w:pPr>
      <w:r>
        <w:rPr/>
        <w:t>In the event any provision of this Agreement and First Amendment is held to be void, unlawful, or otherwise unenforceable, that provision will be severed from the remainder of the Agreement and First Amendment, and replaced automatically by a provision containing terms as nearly like the void, unlawful, or unenforceable provision as possible; and the Agreement and First Amendment, as so modified, will continue to be in full force and effect.  If the application of any provision of this Agreement and First Amendment to any person or circumstance is held to be void, unlawful, or unenforceable, then that provision remains valid, lawful, and enforceable as applied to other persons and circumstances.</w:t>
      </w:r>
    </w:p>
    <w:p>
      <w:pPr>
        <w:pStyle w:val="Heading1"/>
        <w:ind w:hanging="0" w:start="0"/>
        <w:rPr/>
      </w:pPr>
      <w:r>
        <w:rPr/>
        <w:t>Binding Effect</w:t>
      </w:r>
    </w:p>
    <w:p>
      <w:pPr>
        <w:pStyle w:val="BlockText"/>
        <w:rPr/>
      </w:pPr>
      <w:r>
        <w:rPr/>
        <w:t>This Agreement and First Amendment shall inure to the benefit of and be binding on the Parties and their respective successors and permitted assigns.</w:t>
      </w:r>
    </w:p>
    <w:p>
      <w:pPr>
        <w:pStyle w:val="Heading1"/>
        <w:ind w:hanging="0" w:start="0"/>
        <w:rPr/>
      </w:pPr>
      <w:r>
        <w:rPr/>
        <w:t>Multiple Counterparts</w:t>
      </w:r>
    </w:p>
    <w:p>
      <w:pPr>
        <w:pStyle w:val="BlockText"/>
        <w:keepNext w:val="true"/>
        <w:rPr/>
      </w:pPr>
      <w:r>
        <w:rPr/>
        <w:t>This Agreement and First Amendment may be executed in one or more counterparts, each of which shall, for all purposes, be deemed an original and all such counterparts, taken together, shall constitute one and the same instrument.</w:t>
      </w:r>
    </w:p>
    <w:p>
      <w:pPr>
        <w:pStyle w:val="CENTER"/>
        <w:rPr/>
      </w:pPr>
      <w:r>
        <w:rPr/>
        <w:t>[SIGNATURE PAGE FOLLOWS]</w:t>
      </w:r>
      <w:r>
        <w:br w:type="page"/>
      </w:r>
    </w:p>
    <w:p>
      <w:pPr>
        <w:pStyle w:val="BodyTextFirstIndent"/>
        <w:rPr/>
      </w:pPr>
      <w:r>
        <w:rPr/>
        <w:t>IN WITNESS WHEREOF, each of the undersigned Parties has caused this Agreement and First Amendment to be duly executed and delivered as of the date first above written.</w:t>
      </w:r>
    </w:p>
    <w:tbl>
      <w:tblPr>
        <w:tblW w:w="4968" w:type="dxa"/>
        <w:jc w:val="start"/>
        <w:tblInd w:w="4608" w:type="dxa"/>
        <w:tblLayout w:type="fixed"/>
        <w:tblCellMar>
          <w:top w:w="0" w:type="dxa"/>
          <w:start w:w="108" w:type="dxa"/>
          <w:bottom w:w="0" w:type="dxa"/>
          <w:end w:w="108" w:type="dxa"/>
        </w:tblCellMar>
      </w:tblPr>
      <w:tblGrid>
        <w:gridCol w:w="4968"/>
      </w:tblGrid>
      <w:tr>
        <w:trPr/>
        <w:tc>
          <w:tcPr>
            <w:tcW w:w="4968" w:type="dxa"/>
            <w:tcBorders/>
          </w:tcPr>
          <w:p>
            <w:pPr>
              <w:pStyle w:val="Normal"/>
              <w:tabs>
                <w:tab w:val="clear" w:pos="720"/>
                <w:tab w:val="left" w:pos="475" w:leader="none"/>
              </w:tabs>
              <w:spacing w:before="0" w:after="600"/>
              <w:rPr/>
            </w:pPr>
            <w:r>
              <w:rPr>
                <w:b/>
              </w:rPr>
              <w:t>Indian Mesa Power Partners II LP</w:t>
            </w:r>
            <w:r>
              <w:rPr/>
              <w:t>,</w:t>
              <w:br/>
              <w:t>a Delaware limited partnership</w:t>
              <w:br/>
              <w:br/>
              <w:t>By:</w:t>
              <w:tab/>
              <w:t>Enron Wind Indian Mesa II LLC</w:t>
            </w:r>
          </w:p>
          <w:p>
            <w:pPr>
              <w:pStyle w:val="Normal"/>
              <w:tabs>
                <w:tab w:val="clear" w:pos="720"/>
                <w:tab w:val="left" w:pos="972" w:leader="none"/>
                <w:tab w:val="right" w:pos="4752" w:leader="none"/>
              </w:tabs>
              <w:ind w:hanging="497" w:start="972" w:end="0"/>
              <w:rPr/>
            </w:pPr>
            <w:r>
              <w:rPr/>
              <w:t>By:</w:t>
              <w:tab/>
            </w:r>
            <w:r>
              <w:rPr>
                <w:u w:val="single"/>
              </w:rPr>
              <w:tab/>
            </w:r>
            <w:r>
              <w:rPr/>
              <w:br/>
              <w:t>Name:  Adam S. Umanoff</w:t>
              <w:br/>
              <w:t>Title:  President</w:t>
            </w:r>
          </w:p>
        </w:tc>
      </w:tr>
      <w:tr>
        <w:trPr/>
        <w:tc>
          <w:tcPr>
            <w:tcW w:w="4968" w:type="dxa"/>
            <w:tcBorders/>
          </w:tcPr>
          <w:p>
            <w:pPr>
              <w:pStyle w:val="Normal"/>
              <w:snapToGrid w:val="false"/>
              <w:rPr/>
            </w:pPr>
            <w:r>
              <w:rPr/>
            </w:r>
          </w:p>
        </w:tc>
      </w:tr>
      <w:tr>
        <w:trPr/>
        <w:tc>
          <w:tcPr>
            <w:tcW w:w="4968" w:type="dxa"/>
            <w:tcBorders/>
          </w:tcPr>
          <w:p>
            <w:pPr>
              <w:pStyle w:val="Normal"/>
              <w:tabs>
                <w:tab w:val="clear" w:pos="720"/>
                <w:tab w:val="left" w:pos="475" w:leader="none"/>
              </w:tabs>
              <w:spacing w:before="0" w:after="600"/>
              <w:rPr/>
            </w:pPr>
            <w:r>
              <w:rPr>
                <w:b/>
              </w:rPr>
              <w:t>Enron Power Marketing, Inc.</w:t>
            </w:r>
            <w:r>
              <w:rPr/>
              <w:t>,</w:t>
              <w:br/>
              <w:t>a Delaware corporation</w:t>
            </w:r>
          </w:p>
          <w:p>
            <w:pPr>
              <w:pStyle w:val="Normal"/>
              <w:tabs>
                <w:tab w:val="clear" w:pos="720"/>
                <w:tab w:val="right" w:pos="4752" w:leader="none"/>
              </w:tabs>
              <w:ind w:hanging="497" w:start="497" w:end="0"/>
              <w:rPr/>
            </w:pPr>
            <w:r>
              <w:rPr/>
              <w:t>By:</w:t>
              <w:tab/>
            </w:r>
            <w:r>
              <w:rPr>
                <w:u w:val="single"/>
              </w:rPr>
              <w:tab/>
            </w:r>
            <w:r>
              <w:rPr/>
              <w:br/>
              <w:t>Name:</w:t>
              <w:br/>
              <w:t>Title:</w:t>
            </w:r>
          </w:p>
        </w:tc>
      </w:tr>
    </w:tbl>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/mnt/main-storage/datasets/enron-docs/doc/PPA_First_Amendment_09.20.01.doc</w:t>
    </w:r>
    <w:r>
      <w:rPr>
        <w:sz w:val="16"/>
        <w:lang w:eastAsia="en-US"/>
      </w:rPr>
      <w:fldChar w:fldCharType="end"/>
    </w:r>
    <w:r>
      <w:rPr/>
      <w:tab/>
      <w:t xml:space="preserve">- </w:t>
    </w:r>
    <w:r>
      <w:rPr/>
      <w:fldChar w:fldCharType="begin"/>
    </w:r>
    <w:r>
      <w:rPr/>
      <w:instrText xml:space="preserve"> PAGE \* ARABIC </w:instrText>
    </w:r>
    <w:r>
      <w:rPr/>
      <w:fldChar w:fldCharType="separate"/>
    </w:r>
    <w:r>
      <w:rPr/>
      <w:t>5</w:t>
    </w:r>
    <w:r>
      <w:rPr/>
      <w:fldChar w:fldCharType="end"/>
    </w:r>
    <w:r>
      <w:rPr/>
      <w:t xml:space="preserve"> -</w:t>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sz w:val="16"/>
        <w:lang w:eastAsia="en-US"/>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/mnt/main-storage/datasets/enron-docs/doc/PPA_First_Amendment_09.20.01.doc</w:t>
    </w:r>
    <w:r>
      <w:rPr>
        <w:sz w:val="16"/>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fidentialPhrase"/>
      <w:rPr>
        <w:u w:val="single"/>
      </w:rPr>
    </w:pPr>
    <w:r>
      <w:rPr>
        <w:u w:val="single"/>
      </w:rPr>
      <w:t>Draft of September 20, 2001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suff w:val="space"/>
      <w:lvlText w:val="Section %1. "/>
      <w:lvlJc w:val="start"/>
      <w:pPr>
        <w:tabs>
          <w:tab w:val="num" w:pos="0"/>
        </w:tabs>
        <w:ind w:start="0" w:hanging="0"/>
      </w:pPr>
      <w:rPr>
        <w:smallCaps w:val="false"/>
        <w:caps w:val="false"/>
        <w:sz w:val="24"/>
        <w:i w:val="false"/>
        <w:u w:val="none"/>
        <w:b/>
        <w:rFonts w:ascii="Times New Roman" w:hAnsi="Times New Roman" w:cs="Times New Roman"/>
        <w:color w:val="auto"/>
      </w:rPr>
    </w:lvl>
    <w:lvl w:ilvl="1">
      <w:start w:val="1"/>
      <w:pStyle w:val="Heading2"/>
      <w:numFmt w:val="lowerLetter"/>
      <w:lvlText w:val="(%2)"/>
      <w:lvlJc w:val="start"/>
      <w:pPr>
        <w:tabs>
          <w:tab w:val="num" w:pos="720"/>
        </w:tabs>
        <w:ind w:start="720" w:hanging="720"/>
      </w:pPr>
      <w:rPr>
        <w:smallCaps w:val="false"/>
        <w:caps w:val="false"/>
        <w:sz w:val="24"/>
        <w:i w:val="false"/>
        <w:u w:val="none"/>
        <w:b w:val="false"/>
        <w:rFonts w:ascii="Times New Roman" w:hAnsi="Times New Roman" w:cs="Times New Roman"/>
        <w:color w:val="auto"/>
      </w:rPr>
    </w:lvl>
    <w:lvl w:ilvl="2">
      <w:start w:val="1"/>
      <w:pStyle w:val="Heading3"/>
      <w:numFmt w:val="lowerRoman"/>
      <w:lvlText w:val="(%3)"/>
      <w:lvlJc w:val="start"/>
      <w:pPr>
        <w:tabs>
          <w:tab w:val="num" w:pos="1440"/>
        </w:tabs>
        <w:ind w:start="1440" w:hanging="720"/>
      </w:pPr>
      <w:rPr>
        <w:smallCaps w:val="false"/>
        <w:caps w:val="false"/>
        <w:sz w:val="24"/>
        <w:i w:val="false"/>
        <w:u w:val="none"/>
        <w:b w:val="false"/>
        <w:rFonts w:ascii="Times New Roman" w:hAnsi="Times New Roman" w:cs="Times New Roman"/>
        <w:color w:val="auto"/>
      </w:rPr>
    </w:lvl>
    <w:lvl w:ilvl="3">
      <w:start w:val="1"/>
      <w:pStyle w:val="Heading4"/>
      <w:numFmt w:val="lowerLetter"/>
      <w:lvlText w:val="%4."/>
      <w:lvlJc w:val="start"/>
      <w:pPr>
        <w:tabs>
          <w:tab w:val="num" w:pos="1440"/>
        </w:tabs>
        <w:ind w:start="1440" w:hanging="720"/>
      </w:pPr>
      <w:rPr>
        <w:smallCaps w:val="false"/>
        <w:caps w:val="false"/>
        <w:sz w:val="24"/>
        <w:i w:val="false"/>
        <w:u w:val="none"/>
        <w:b w:val="false"/>
        <w:rFonts w:ascii="Times New Roman" w:hAnsi="Times New Roman" w:cs="Times New Roman"/>
        <w:color w:val="auto"/>
      </w:rPr>
    </w:lvl>
    <w:lvl w:ilvl="4">
      <w:start w:val="1"/>
      <w:pStyle w:val="Heading5"/>
      <w:numFmt w:val="lowerRoman"/>
      <w:lvlText w:val="(%5)"/>
      <w:lvlJc w:val="start"/>
      <w:pPr>
        <w:tabs>
          <w:tab w:val="num" w:pos="2160"/>
        </w:tabs>
        <w:ind w:start="2160" w:hanging="720"/>
      </w:pPr>
      <w:rPr>
        <w:smallCaps w:val="false"/>
        <w:caps w:val="false"/>
        <w:sz w:val="24"/>
        <w:i w:val="false"/>
        <w:u w:val="none"/>
        <w:b w:val="false"/>
        <w:rFonts w:ascii="Tahoma" w:hAnsi="Tahoma" w:cs="Tahoma"/>
        <w:color w:val="auto"/>
      </w:rPr>
    </w:lvl>
    <w:lvl w:ilvl="5">
      <w:start w:val="1"/>
      <w:pStyle w:val="Heading6"/>
      <w:numFmt w:val="none"/>
      <w:suff w:val="nothing"/>
      <w:lvlText w:val=""/>
      <w:lvlJc w:val="start"/>
      <w:pPr>
        <w:tabs>
          <w:tab w:val="num" w:pos="0"/>
        </w:tabs>
        <w:ind w:start="0" w:hanging="0"/>
      </w:pPr>
      <w:rPr>
        <w:smallCaps w:val="false"/>
        <w:caps w:val="false"/>
        <w:sz w:val="24"/>
        <w:i w:val="false"/>
        <w:u w:val="none"/>
        <w:b w:val="false"/>
        <w:rFonts w:ascii="Times New Roman" w:hAnsi="Times New Roman" w:cs="Times New Roman"/>
        <w:color w:val="auto"/>
      </w:rPr>
    </w:lvl>
    <w:lvl w:ilvl="6">
      <w:start w:val="1"/>
      <w:pStyle w:val="Heading7"/>
      <w:numFmt w:val="none"/>
      <w:suff w:val="nothing"/>
      <w:lvlText w:val=""/>
      <w:lvlJc w:val="start"/>
      <w:pPr>
        <w:tabs>
          <w:tab w:val="num" w:pos="0"/>
        </w:tabs>
        <w:ind w:start="0" w:hanging="0"/>
      </w:pPr>
      <w:rPr>
        <w:smallCaps w:val="false"/>
        <w:caps w:val="false"/>
        <w:sz w:val="24"/>
        <w:i w:val="false"/>
        <w:u w:val="none"/>
        <w:b w:val="false"/>
        <w:rFonts w:ascii="Times New Roman" w:hAnsi="Times New Roman" w:cs="Times New Roman"/>
        <w:color w:val="auto"/>
      </w:rPr>
    </w:lvl>
    <w:lvl w:ilvl="7">
      <w:start w:val="1"/>
      <w:pStyle w:val="Heading8"/>
      <w:numFmt w:val="none"/>
      <w:suff w:val="nothing"/>
      <w:lvlText w:val=""/>
      <w:lvlJc w:val="start"/>
      <w:pPr>
        <w:tabs>
          <w:tab w:val="num" w:pos="0"/>
        </w:tabs>
        <w:ind w:start="0" w:hanging="0"/>
      </w:pPr>
      <w:rPr>
        <w:smallCaps w:val="false"/>
        <w:caps w:val="false"/>
        <w:sz w:val="24"/>
        <w:i w:val="false"/>
        <w:u w:val="none"/>
        <w:b w:val="false"/>
        <w:rFonts w:ascii="Times New Roman" w:hAnsi="Times New Roman" w:cs="Times New Roman"/>
        <w:color w:val="auto"/>
      </w:rPr>
    </w:lvl>
    <w:lvl w:ilvl="8">
      <w:start w:val="1"/>
      <w:pStyle w:val="Heading9"/>
      <w:numFmt w:val="none"/>
      <w:suff w:val="nothing"/>
      <w:lvlText w:val=""/>
      <w:lvlJc w:val="start"/>
      <w:pPr>
        <w:tabs>
          <w:tab w:val="num" w:pos="0"/>
        </w:tabs>
        <w:ind w:start="0" w:hanging="0"/>
      </w:pPr>
      <w:rPr>
        <w:smallCaps w:val="false"/>
        <w:caps w:val="false"/>
        <w:sz w:val="24"/>
        <w:i w:val="false"/>
        <w:u w:val="none"/>
        <w:b w:val="false"/>
        <w:rFonts w:ascii="Times New Roman" w:hAnsi="Times New Roman" w:cs="Times New Roman"/>
        <w:color w:val="auto"/>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Tahoma" w:hAnsi="Tahoma" w:cs="Tahoma" w:hint="default"/>
      </w:rPr>
    </w:lvl>
  </w:abstractNum>
  <w:abstractNum w:abstractNumId="7">
    <w:lvl w:ilvl="0">
      <w:start w:val="1"/>
      <w:numFmt w:val="bullet"/>
      <w:lvlText w:val=""/>
      <w:lvlJc w:val="start"/>
      <w:pPr>
        <w:tabs>
          <w:tab w:val="num" w:pos="1440"/>
        </w:tabs>
        <w:ind w:start="1440" w:hanging="360"/>
      </w:pPr>
      <w:rPr>
        <w:rFonts w:ascii="Tahoma" w:hAnsi="Tahoma" w:cs="Tahoma" w:hint="default"/>
      </w:rPr>
    </w:lvl>
  </w:abstractNum>
  <w:abstractNum w:abstractNumId="8">
    <w:lvl w:ilvl="0">
      <w:start w:val="1"/>
      <w:numFmt w:val="bullet"/>
      <w:lvlText w:val=""/>
      <w:lvlJc w:val="start"/>
      <w:pPr>
        <w:tabs>
          <w:tab w:val="num" w:pos="1080"/>
        </w:tabs>
        <w:ind w:start="1080" w:hanging="360"/>
      </w:pPr>
      <w:rPr>
        <w:rFonts w:ascii="Tahoma" w:hAnsi="Tahoma" w:cs="Tahoma" w:hint="default"/>
      </w:rPr>
    </w:lvl>
  </w:abstractNum>
  <w:abstractNum w:abstractNumId="9">
    <w:lvl w:ilvl="0">
      <w:start w:val="1"/>
      <w:numFmt w:val="bullet"/>
      <w:lvlText w:val=""/>
      <w:lvlJc w:val="start"/>
      <w:pPr>
        <w:tabs>
          <w:tab w:val="num" w:pos="720"/>
        </w:tabs>
        <w:ind w:start="720" w:hanging="360"/>
      </w:pPr>
      <w:rPr>
        <w:rFonts w:ascii="Tahoma" w:hAnsi="Tahoma" w:cs="Tahoma" w:hint="default"/>
        <w:color w:val="auto"/>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Tahoma" w:hAnsi="Tahoma" w:cs="Tahoma" w:hint="default"/>
      </w:rPr>
    </w:lvl>
  </w:abstractNum>
  <w:abstractNum w:abstractNumId="12">
    <w:lvl w:ilvl="0">
      <w:start w:val="2"/>
      <w:numFmt w:val="lowerRoman"/>
      <w:lvlText w:val="(%1)"/>
      <w:lvlJc w:val="start"/>
      <w:pPr>
        <w:tabs>
          <w:tab w:val="num" w:pos="2160"/>
        </w:tabs>
        <w:ind w:start="216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docVars>
    <w:docVar w:name="85TrailerDate" w:val="0"/>
    <w:docVar w:name="85TrailerDateField" w:val="0"/>
    <w:docVar w:name="85TrailerDraft" w:val="0"/>
    <w:docVar w:name="85TrailerTime" w:val="0"/>
    <w:docVar w:name="85TrailerType" w:val="100"/>
    <w:docVar w:name="bpfile" w:val="BusinessGeneric.mbp"/>
    <w:docVar w:name="Business_1_BusinessTypeID" w:val="3"/>
    <w:docVar w:name="Business_1_DocumentTitle" w:val="Agreement of First Amendment&#10;Renewable Energy Purchase Agreement "/>
    <w:docVar w:name="CustomProperty_1_Confidential Phrase" w:val="JDRP Draft of July 2, 2001??JDRP Draft of July 2, 2001"/>
    <w:docVar w:name="CustomProperty_1_Confidential Phrase First" w:val="JDRP Draft of July 2, 2001??JDRP Draft of July 2, 2001"/>
    <w:docVar w:name="MPDocID" w:val="::ODMA\PCDOCS\NY\1166624\2"/>
    <w:docVar w:name="NewDocStampType" w:val="1"/>
    <w:docVar w:name="ReuseAuthor" w:val="NoAuthor"/>
    <w:docVar w:name="zzmpARABICLE" w:val="||ARABIC LEFT|2|3|1|3|0|33||1|0|0||1|0|32||1|0|0||1|0|0||0|0|0||0|0|0||0|0|0||0|0|0||"/>
    <w:docVar w:name="zzmpFixed_MacPacVersion" w:val="9.0"/>
    <w:docVar w:name="zzmpFixedCurScheme" w:val="ARABICLE"/>
    <w:docVar w:name="zzmpFixedCurScheme_9.0" w:val="1zzmpARABICLE"/>
    <w:docVar w:name="zzmpLTFontsClean" w:val="True"/>
    <w:docVar w:name="zzmpnSession" w:val="0.1219599"/>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numPr>
        <w:ilvl w:val="0"/>
        <w:numId w:val="1"/>
      </w:numPr>
      <w:spacing w:before="0" w:after="240"/>
      <w:outlineLvl w:val="0"/>
    </w:pPr>
    <w:rPr>
      <w:b/>
    </w:rPr>
  </w:style>
  <w:style w:type="paragraph" w:styleId="Heading2">
    <w:name w:val="heading 2"/>
    <w:basedOn w:val="Normal"/>
    <w:next w:val="BodyText"/>
    <w:qFormat/>
    <w:pPr>
      <w:numPr>
        <w:ilvl w:val="1"/>
        <w:numId w:val="1"/>
      </w:numPr>
      <w:spacing w:before="0" w:after="240"/>
      <w:outlineLvl w:val="1"/>
    </w:pPr>
    <w:rPr/>
  </w:style>
  <w:style w:type="paragraph" w:styleId="Heading3">
    <w:name w:val="heading 3"/>
    <w:basedOn w:val="Normal"/>
    <w:next w:val="BodyText"/>
    <w:qFormat/>
    <w:pPr>
      <w:numPr>
        <w:ilvl w:val="2"/>
        <w:numId w:val="1"/>
      </w:numPr>
      <w:spacing w:before="0" w:after="240"/>
      <w:outlineLvl w:val="2"/>
    </w:pPr>
    <w:rPr/>
  </w:style>
  <w:style w:type="paragraph" w:styleId="Heading4">
    <w:name w:val="heading 4"/>
    <w:basedOn w:val="Normal"/>
    <w:next w:val="BodyText"/>
    <w:qFormat/>
    <w:pPr>
      <w:numPr>
        <w:ilvl w:val="3"/>
        <w:numId w:val="1"/>
      </w:numPr>
      <w:spacing w:before="0" w:after="240"/>
      <w:outlineLvl w:val="3"/>
    </w:pPr>
    <w:rPr/>
  </w:style>
  <w:style w:type="paragraph" w:styleId="Heading5">
    <w:name w:val="heading 5"/>
    <w:basedOn w:val="Normal"/>
    <w:next w:val="BodyText"/>
    <w:qFormat/>
    <w:pPr>
      <w:numPr>
        <w:ilvl w:val="4"/>
        <w:numId w:val="1"/>
      </w:numPr>
      <w:spacing w:before="0" w:after="240"/>
      <w:outlineLvl w:val="4"/>
    </w:pPr>
    <w:rPr/>
  </w:style>
  <w:style w:type="paragraph" w:styleId="Heading6">
    <w:name w:val="heading 6"/>
    <w:basedOn w:val="Normal"/>
    <w:next w:val="BodyText"/>
    <w:qFormat/>
    <w:pPr>
      <w:numPr>
        <w:ilvl w:val="5"/>
        <w:numId w:val="1"/>
      </w:numPr>
      <w:spacing w:before="0" w:after="240"/>
      <w:outlineLvl w:val="5"/>
    </w:pPr>
    <w:rPr/>
  </w:style>
  <w:style w:type="paragraph" w:styleId="Heading7">
    <w:name w:val="heading 7"/>
    <w:basedOn w:val="Normal"/>
    <w:next w:val="BodyText"/>
    <w:qFormat/>
    <w:pPr>
      <w:numPr>
        <w:ilvl w:val="6"/>
        <w:numId w:val="1"/>
      </w:numPr>
      <w:spacing w:before="0" w:after="240"/>
      <w:outlineLvl w:val="6"/>
    </w:pPr>
    <w:rPr/>
  </w:style>
  <w:style w:type="paragraph" w:styleId="Heading8">
    <w:name w:val="heading 8"/>
    <w:basedOn w:val="Normal"/>
    <w:next w:val="BodyText"/>
    <w:qFormat/>
    <w:pPr>
      <w:numPr>
        <w:ilvl w:val="7"/>
        <w:numId w:val="1"/>
      </w:numPr>
      <w:spacing w:before="0" w:after="240"/>
      <w:outlineLvl w:val="7"/>
    </w:pPr>
    <w:rPr/>
  </w:style>
  <w:style w:type="paragraph" w:styleId="Heading9">
    <w:name w:val="heading 9"/>
    <w:basedOn w:val="Normal"/>
    <w:next w:val="BodyText"/>
    <w:qFormat/>
    <w:pPr>
      <w:numPr>
        <w:ilvl w:val="8"/>
        <w:numId w:val="1"/>
      </w:numPr>
      <w:spacing w:before="0" w:after="240"/>
      <w:outlineLvl w:val="8"/>
    </w:pPr>
    <w:rPr/>
  </w:style>
  <w:style w:type="character" w:styleId="WW8Num5z0">
    <w:name w:val="WW8Num5z0"/>
    <w:qFormat/>
    <w:rPr>
      <w:rFonts w:ascii="Tahoma" w:hAnsi="Tahoma" w:cs="Tahoma"/>
    </w:rPr>
  </w:style>
  <w:style w:type="character" w:styleId="WW8Num6z0">
    <w:name w:val="WW8Num6z0"/>
    <w:qFormat/>
    <w:rPr>
      <w:rFonts w:ascii="Tahoma" w:hAnsi="Tahoma" w:cs="Tahoma"/>
    </w:rPr>
  </w:style>
  <w:style w:type="character" w:styleId="WW8Num7z0">
    <w:name w:val="WW8Num7z0"/>
    <w:qFormat/>
    <w:rPr>
      <w:rFonts w:ascii="Tahoma" w:hAnsi="Tahoma" w:cs="Tahoma"/>
    </w:rPr>
  </w:style>
  <w:style w:type="character" w:styleId="WW8Num8z0">
    <w:name w:val="WW8Num8z0"/>
    <w:qFormat/>
    <w:rPr>
      <w:rFonts w:ascii="Tahoma" w:hAnsi="Tahoma" w:cs="Tahoma"/>
      <w:color w:val="auto"/>
    </w:rPr>
  </w:style>
  <w:style w:type="character" w:styleId="WW8Num10z0">
    <w:name w:val="WW8Num10z0"/>
    <w:qFormat/>
    <w:rPr>
      <w:rFonts w:ascii="Tahoma" w:hAnsi="Tahoma" w:cs="Tahoma"/>
    </w:rPr>
  </w:style>
  <w:style w:type="character" w:styleId="WW8Num11z0">
    <w:name w:val="WW8Num11z0"/>
    <w:qFormat/>
    <w:rPr>
      <w:rFonts w:ascii="Times New Roman" w:hAnsi="Times New Roman" w:cs="Times New Roman"/>
      <w:b/>
      <w:i w:val="false"/>
      <w:caps w:val="false"/>
      <w:smallCaps w:val="false"/>
      <w:color w:val="auto"/>
      <w:sz w:val="24"/>
      <w:u w:val="none"/>
    </w:rPr>
  </w:style>
  <w:style w:type="character" w:styleId="WW8Num11z1">
    <w:name w:val="WW8Num11z1"/>
    <w:qFormat/>
    <w:rPr>
      <w:rFonts w:ascii="Times New Roman" w:hAnsi="Times New Roman" w:cs="Times New Roman"/>
      <w:b w:val="false"/>
      <w:i w:val="false"/>
      <w:caps w:val="false"/>
      <w:smallCaps w:val="false"/>
      <w:color w:val="auto"/>
      <w:sz w:val="24"/>
      <w:u w:val="none"/>
    </w:rPr>
  </w:style>
  <w:style w:type="character" w:styleId="WW8Num11z4">
    <w:name w:val="WW8Num11z4"/>
    <w:qFormat/>
    <w:rPr>
      <w:rFonts w:ascii="Tahoma" w:hAnsi="Tahoma" w:cs="Tahoma"/>
      <w:b w:val="false"/>
      <w:i w:val="false"/>
      <w:caps w:val="false"/>
      <w:smallCaps w:val="false"/>
      <w:color w:val="auto"/>
      <w:sz w:val="24"/>
      <w:u w:val="none"/>
    </w:rPr>
  </w:style>
  <w:style w:type="character" w:styleId="WW8Num12z0">
    <w:name w:val="WW8Num12z0"/>
    <w:qFormat/>
    <w:rPr/>
  </w:style>
  <w:style w:type="character" w:styleId="WW8Num13z0">
    <w:name w:val="WW8Num13z0"/>
    <w:qFormat/>
    <w:rPr>
      <w:rFonts w:ascii="Tahoma" w:hAnsi="Tahoma" w:cs="Tahoma"/>
      <w:b/>
      <w:i w:val="false"/>
      <w:caps w:val="false"/>
      <w:smallCaps w:val="false"/>
      <w:color w:val="auto"/>
      <w:sz w:val="24"/>
      <w:u w:val="none"/>
    </w:rPr>
  </w:style>
  <w:style w:type="character" w:styleId="WW8Num13z1">
    <w:name w:val="WW8Num13z1"/>
    <w:qFormat/>
    <w:rPr>
      <w:rFonts w:ascii="Tahoma" w:hAnsi="Tahoma" w:cs="Tahoma"/>
      <w:b w:val="false"/>
      <w:i w:val="false"/>
      <w:caps w:val="false"/>
      <w:smallCaps w:val="false"/>
      <w:color w:val="auto"/>
      <w:sz w:val="24"/>
      <w:u w:val="none"/>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Emphasis">
    <w:name w:val="Emphasis"/>
    <w:basedOn w:val="DefaultParagraphFont"/>
    <w:qFormat/>
    <w:rPr>
      <w:b/>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Strong">
    <w:name w:val="Strong"/>
    <w:basedOn w:val="DefaultParagraphFont"/>
    <w:qFormat/>
    <w:rPr>
      <w:b/>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paragraph" w:styleId="Heading">
    <w:name w:val="Heading"/>
    <w:basedOn w:val="Normal"/>
    <w:next w:val="BodyText"/>
    <w:qFormat/>
    <w:pPr>
      <w:spacing w:before="0" w:after="240"/>
      <w:jc w:val="center"/>
    </w:pPr>
    <w:rPr>
      <w:rFonts w:ascii="Times New Roman" w:hAnsi="Times New Roman" w:cs="Times New Roman"/>
      <w:b/>
      <w:caps/>
    </w:rPr>
  </w:style>
  <w:style w:type="paragraph" w:styleId="BodyText">
    <w:name w:val="Body Text"/>
    <w:basedOn w:val="Normal"/>
    <w:pPr>
      <w:spacing w:before="0" w:after="240"/>
      <w:ind w:firstLine="720" w:start="0" w:end="0"/>
    </w:pPr>
    <w:rPr/>
  </w:style>
  <w:style w:type="paragraph" w:styleId="List">
    <w:name w:val="List"/>
    <w:basedOn w:val="Normal"/>
    <w:pPr>
      <w:ind w:hanging="360" w:start="360" w:end="0"/>
    </w:pPr>
    <w:rPr/>
  </w:style>
  <w:style w:type="paragraph" w:styleId="Caption">
    <w:name w:val="caption"/>
    <w:basedOn w:val="Normal"/>
    <w:next w:val="BodyText"/>
    <w:qFormat/>
    <w:pPr>
      <w:spacing w:before="0" w:after="240"/>
    </w:pPr>
    <w:rPr>
      <w:rFonts w:ascii="Times New Roman" w:hAnsi="Times New Roman" w:cs="Times New Roman"/>
      <w:b/>
    </w:rPr>
  </w:style>
  <w:style w:type="paragraph" w:styleId="Index">
    <w:name w:val="Index"/>
    <w:basedOn w:val="Normal"/>
    <w:qFormat/>
    <w:pPr>
      <w:suppressLineNumbers/>
    </w:pPr>
    <w:rPr>
      <w:rFonts w:cs="NotoSans NF"/>
    </w:rPr>
  </w:style>
  <w:style w:type="paragraph" w:styleId="FootnoteText">
    <w:name w:val="footnote text"/>
    <w:basedOn w:val="Normal"/>
    <w:pPr>
      <w:spacing w:before="0" w:after="120"/>
      <w:ind w:firstLine="720" w:start="0" w:end="0"/>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Header">
    <w:name w:val="header"/>
    <w:basedOn w:val="Normal"/>
    <w:pPr>
      <w:tabs>
        <w:tab w:val="clear" w:pos="720"/>
        <w:tab w:val="center" w:pos="4680" w:leader="none"/>
        <w:tab w:val="right" w:pos="9360" w:leader="none"/>
      </w:tabs>
    </w:pPr>
    <w:rPr/>
  </w:style>
  <w:style w:type="paragraph" w:styleId="ConfidentialPhrase">
    <w:name w:val="Confidential Phrase"/>
    <w:basedOn w:val="Normal"/>
    <w:next w:val="Normal"/>
    <w:qFormat/>
    <w:pPr>
      <w:jc w:val="end"/>
    </w:pPr>
    <w:rPr/>
  </w:style>
  <w:style w:type="paragraph" w:styleId="DocumentTitle">
    <w:name w:val="Document Title"/>
    <w:basedOn w:val="Normal"/>
    <w:next w:val="BodyText"/>
    <w:qFormat/>
    <w:pPr>
      <w:spacing w:before="0" w:after="480"/>
      <w:jc w:val="center"/>
    </w:pPr>
    <w:rPr>
      <w:b/>
      <w:caps/>
    </w:rPr>
  </w:style>
  <w:style w:type="paragraph" w:styleId="BlockText">
    <w:name w:val="Block Text"/>
    <w:basedOn w:val="Normal"/>
    <w:qFormat/>
    <w:pPr>
      <w:spacing w:before="0" w:after="240"/>
    </w:pPr>
    <w:rPr/>
  </w:style>
  <w:style w:type="paragraph" w:styleId="BodyText2">
    <w:name w:val="Body Text 2"/>
    <w:basedOn w:val="Normal"/>
    <w:qFormat/>
    <w:pPr>
      <w:spacing w:lineRule="auto" w:line="480"/>
      <w:ind w:firstLine="720" w:start="0" w:end="0"/>
    </w:pPr>
    <w:rPr/>
  </w:style>
  <w:style w:type="paragraph" w:styleId="BodyText3">
    <w:name w:val="Body Text 3"/>
    <w:basedOn w:val="Normal"/>
    <w:qFormat/>
    <w:pPr>
      <w:spacing w:lineRule="auto" w:line="360"/>
      <w:ind w:firstLine="720" w:start="0" w:end="0"/>
    </w:pPr>
    <w:rPr/>
  </w:style>
  <w:style w:type="paragraph" w:styleId="BodyTextFirstIndent">
    <w:name w:val="Body Text First Indent"/>
    <w:basedOn w:val="Normal"/>
    <w:qFormat/>
    <w:pPr>
      <w:spacing w:before="0" w:after="240"/>
      <w:ind w:firstLine="1440" w:start="0" w:end="0"/>
    </w:pPr>
    <w:rPr/>
  </w:style>
  <w:style w:type="paragraph" w:styleId="BodyTextIndent">
    <w:name w:val="Body Text Indent"/>
    <w:basedOn w:val="Normal"/>
    <w:pPr>
      <w:spacing w:before="0" w:after="240"/>
      <w:ind w:hanging="0" w:start="720" w:end="0"/>
    </w:pPr>
    <w:rPr/>
  </w:style>
  <w:style w:type="paragraph" w:styleId="BodyTextFirstIndent2">
    <w:name w:val="Body Text First Indent 2"/>
    <w:basedOn w:val="Normal"/>
    <w:qFormat/>
    <w:pPr>
      <w:spacing w:lineRule="auto" w:line="480"/>
      <w:ind w:firstLine="1440" w:start="0" w:end="0"/>
    </w:pPr>
    <w:rPr/>
  </w:style>
  <w:style w:type="paragraph" w:styleId="BodyTextFirstIndent3">
    <w:name w:val="Body Text First Indent 3"/>
    <w:basedOn w:val="Normal"/>
    <w:qFormat/>
    <w:pPr>
      <w:spacing w:lineRule="auto" w:line="360"/>
      <w:ind w:firstLine="1440" w:start="0" w:end="0"/>
    </w:pPr>
    <w:rPr/>
  </w:style>
  <w:style w:type="paragraph" w:styleId="BodyTextIndent2">
    <w:name w:val="Body Text Indent 2"/>
    <w:basedOn w:val="Normal"/>
    <w:qFormat/>
    <w:pPr>
      <w:spacing w:lineRule="auto" w:line="480"/>
      <w:ind w:hanging="0" w:start="720" w:end="0"/>
    </w:pPr>
    <w:rPr/>
  </w:style>
  <w:style w:type="paragraph" w:styleId="BodyTextIndent3">
    <w:name w:val="Body Text Indent 3"/>
    <w:basedOn w:val="Normal"/>
    <w:qFormat/>
    <w:pPr>
      <w:spacing w:lineRule="auto" w:line="360"/>
      <w:ind w:hanging="0" w:start="720" w:end="0"/>
    </w:pPr>
    <w:rPr/>
  </w:style>
  <w:style w:type="paragraph" w:styleId="Bold">
    <w:name w:val="Bold"/>
    <w:basedOn w:val="Normal"/>
    <w:next w:val="BodyText"/>
    <w:qFormat/>
    <w:pPr>
      <w:keepNext w:val="true"/>
      <w:spacing w:before="0" w:after="240"/>
    </w:pPr>
    <w:rPr>
      <w:rFonts w:ascii="Times New Roman" w:hAnsi="Times New Roman" w:cs="Times New Roman"/>
      <w:b/>
    </w:rPr>
  </w:style>
  <w:style w:type="paragraph" w:styleId="BoldCapCenter">
    <w:name w:val="BoldCapCenter"/>
    <w:basedOn w:val="Normal"/>
    <w:next w:val="BodyText"/>
    <w:qFormat/>
    <w:pPr>
      <w:keepNext w:val="true"/>
      <w:spacing w:before="0" w:after="240"/>
      <w:jc w:val="center"/>
    </w:pPr>
    <w:rPr>
      <w:b/>
      <w:caps/>
    </w:rPr>
  </w:style>
  <w:style w:type="paragraph" w:styleId="Closing">
    <w:name w:val="Closing"/>
    <w:basedOn w:val="Normal"/>
    <w:next w:val="Signature"/>
    <w:qFormat/>
    <w:pPr>
      <w:keepNext w:val="true"/>
      <w:spacing w:before="0" w:after="960"/>
      <w:ind w:hanging="0" w:start="4680" w:end="0"/>
    </w:pPr>
    <w:rPr/>
  </w:style>
  <w:style w:type="paragraph" w:styleId="Signature">
    <w:name w:val="Signature"/>
    <w:basedOn w:val="Normal"/>
    <w:pPr>
      <w:tabs>
        <w:tab w:val="clear" w:pos="720"/>
        <w:tab w:val="right" w:pos="9360" w:leader="underscore"/>
      </w:tabs>
      <w:ind w:hanging="0" w:start="4680" w:end="0"/>
    </w:pPr>
    <w:rPr/>
  </w:style>
  <w:style w:type="paragraph" w:styleId="CommentText">
    <w:name w:val="Comment Text"/>
    <w:basedOn w:val="Normal"/>
    <w:qFormat/>
    <w:pPr/>
    <w:rPr>
      <w:sz w:val="20"/>
    </w:rPr>
  </w:style>
  <w:style w:type="paragraph" w:styleId="Date">
    <w:name w:val="Date"/>
    <w:basedOn w:val="Normal"/>
    <w:next w:val="Normal"/>
    <w:qFormat/>
    <w:pPr>
      <w:spacing w:before="0" w:after="240"/>
    </w:pPr>
    <w:rPr/>
  </w:style>
  <w:style w:type="paragraph" w:styleId="DocumentMap">
    <w:name w:val="Document Map"/>
    <w:basedOn w:val="Normal"/>
    <w:qFormat/>
    <w:pPr>
      <w:shd w:fill="000080" w:val="clear"/>
    </w:pPr>
    <w:rPr>
      <w:rFonts w:ascii="Tahoma" w:hAnsi="Tahoma" w:cs="Tahoma"/>
      <w:sz w:val="20"/>
    </w:rPr>
  </w:style>
  <w:style w:type="paragraph" w:styleId="EndnoteText">
    <w:name w:val="endnote text"/>
    <w:basedOn w:val="Normal"/>
    <w:pPr>
      <w:spacing w:before="0" w:after="120"/>
      <w:ind w:firstLine="720" w:start="0" w:end="0"/>
    </w:pPr>
    <w:rPr>
      <w:sz w:val="20"/>
    </w:rPr>
  </w:style>
  <w:style w:type="paragraph" w:styleId="EnvelopeAddress">
    <w:name w:val="envelope address"/>
    <w:basedOn w:val="Normal"/>
    <w:pPr/>
    <w:rPr/>
  </w:style>
  <w:style w:type="paragraph" w:styleId="EnvelopeReturn">
    <w:name w:val="envelope return"/>
    <w:basedOn w:val="Normal"/>
    <w:pPr/>
    <w:rPr/>
  </w:style>
  <w:style w:type="paragraph" w:styleId="Index1">
    <w:name w:val="index 1"/>
    <w:basedOn w:val="Normal"/>
    <w:next w:val="BodyText"/>
    <w:pPr>
      <w:ind w:hanging="245" w:start="245" w:end="0"/>
    </w:pPr>
    <w:rPr/>
  </w:style>
  <w:style w:type="paragraph" w:styleId="Index2">
    <w:name w:val="index 2"/>
    <w:basedOn w:val="Normal"/>
    <w:next w:val="BodyText"/>
    <w:pPr>
      <w:ind w:hanging="202" w:start="404" w:end="0"/>
    </w:pPr>
    <w:rPr/>
  </w:style>
  <w:style w:type="paragraph" w:styleId="Index3">
    <w:name w:val="index 3"/>
    <w:basedOn w:val="Normal"/>
    <w:next w:val="BodyText"/>
    <w:pPr>
      <w:ind w:hanging="202" w:start="605" w:end="0"/>
    </w:pPr>
    <w:rPr/>
  </w:style>
  <w:style w:type="paragraph" w:styleId="Index4">
    <w:name w:val="Index 4"/>
    <w:basedOn w:val="Normal"/>
    <w:next w:val="BodyText"/>
    <w:qFormat/>
    <w:pPr>
      <w:ind w:hanging="202" w:start="807" w:end="0"/>
    </w:pPr>
    <w:rPr/>
  </w:style>
  <w:style w:type="paragraph" w:styleId="Index5">
    <w:name w:val="Index 5"/>
    <w:basedOn w:val="Normal"/>
    <w:next w:val="BodyText"/>
    <w:qFormat/>
    <w:pPr>
      <w:ind w:hanging="202" w:start="1008" w:end="0"/>
    </w:pPr>
    <w:rPr/>
  </w:style>
  <w:style w:type="paragraph" w:styleId="Index6">
    <w:name w:val="Index 6"/>
    <w:basedOn w:val="Normal"/>
    <w:next w:val="BodyText"/>
    <w:qFormat/>
    <w:pPr>
      <w:ind w:hanging="202" w:start="1196" w:end="0"/>
    </w:pPr>
    <w:rPr/>
  </w:style>
  <w:style w:type="paragraph" w:styleId="Index7">
    <w:name w:val="Index 7"/>
    <w:basedOn w:val="Normal"/>
    <w:next w:val="BodyText"/>
    <w:qFormat/>
    <w:pPr>
      <w:ind w:hanging="202" w:start="1397" w:end="0"/>
    </w:pPr>
    <w:rPr/>
  </w:style>
  <w:style w:type="paragraph" w:styleId="Index8">
    <w:name w:val="Index 8"/>
    <w:basedOn w:val="Normal"/>
    <w:next w:val="BodyText"/>
    <w:qFormat/>
    <w:pPr>
      <w:ind w:hanging="202" w:start="1599" w:end="0"/>
    </w:pPr>
    <w:rPr/>
  </w:style>
  <w:style w:type="paragraph" w:styleId="Index9">
    <w:name w:val="Index 9"/>
    <w:basedOn w:val="Normal"/>
    <w:next w:val="BodyText"/>
    <w:qFormat/>
    <w:pPr>
      <w:ind w:hanging="202" w:start="1800" w:end="0"/>
    </w:pPr>
    <w:rPr/>
  </w:style>
  <w:style w:type="paragraph" w:styleId="IndexHeading">
    <w:name w:val="index heading"/>
    <w:basedOn w:val="Normal"/>
    <w:next w:val="Index1"/>
    <w:pPr>
      <w:spacing w:before="0" w:after="240"/>
      <w:jc w:val="center"/>
      <w:outlineLvl w:val="0"/>
    </w:pPr>
    <w:rPr>
      <w:rFonts w:ascii="Times New Roman" w:hAnsi="Times New Roman" w:cs="Times New Roman"/>
      <w:b/>
    </w:rPr>
  </w:style>
  <w:style w:type="paragraph" w:styleId="Italic">
    <w:name w:val="Italic"/>
    <w:basedOn w:val="Normal"/>
    <w:next w:val="BodyText"/>
    <w:qFormat/>
    <w:pPr>
      <w:keepNext w:val="true"/>
      <w:spacing w:before="0" w:after="240"/>
    </w:pPr>
    <w:rPr>
      <w:i/>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tabs>
        <w:tab w:val="clear" w:pos="720"/>
      </w:tabs>
      <w:ind w:hanging="720" w:start="720" w:end="0"/>
    </w:pPr>
    <w:rPr/>
  </w:style>
  <w:style w:type="paragraph" w:styleId="ListBullet21">
    <w:name w:val="List Bullet 21"/>
    <w:basedOn w:val="Normal"/>
    <w:qFormat/>
    <w:pPr>
      <w:numPr>
        <w:ilvl w:val="0"/>
        <w:numId w:val="9"/>
      </w:numPr>
      <w:tabs>
        <w:tab w:val="clear" w:pos="720"/>
      </w:tabs>
      <w:ind w:hanging="720" w:start="1440" w:end="0"/>
    </w:pPr>
    <w:rPr/>
  </w:style>
  <w:style w:type="paragraph" w:styleId="ListBullet31">
    <w:name w:val="List Bullet 31"/>
    <w:basedOn w:val="Normal"/>
    <w:qFormat/>
    <w:pPr>
      <w:numPr>
        <w:ilvl w:val="0"/>
        <w:numId w:val="8"/>
      </w:numPr>
      <w:tabs>
        <w:tab w:val="clear" w:pos="720"/>
      </w:tabs>
      <w:ind w:hanging="720" w:start="2160" w:end="0"/>
    </w:pPr>
    <w:rPr/>
  </w:style>
  <w:style w:type="paragraph" w:styleId="ListBullet41">
    <w:name w:val="List Bullet 41"/>
    <w:basedOn w:val="Normal"/>
    <w:qFormat/>
    <w:pPr>
      <w:numPr>
        <w:ilvl w:val="0"/>
        <w:numId w:val="7"/>
      </w:numPr>
      <w:tabs>
        <w:tab w:val="clear" w:pos="720"/>
      </w:tabs>
      <w:ind w:hanging="720" w:start="2880" w:end="0"/>
    </w:pPr>
    <w:rPr/>
  </w:style>
  <w:style w:type="paragraph" w:styleId="ListBullet51">
    <w:name w:val="List Bullet 51"/>
    <w:basedOn w:val="Normal"/>
    <w:qFormat/>
    <w:pPr>
      <w:numPr>
        <w:ilvl w:val="0"/>
        <w:numId w:val="6"/>
      </w:numPr>
      <w:tabs>
        <w:tab w:val="clear" w:pos="720"/>
      </w:tabs>
      <w:ind w:hanging="720" w:start="3600" w:end="0"/>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basedOn w:val="Normal"/>
    <w:qFormat/>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style>
  <w:style w:type="paragraph" w:styleId="NormalIndent">
    <w:name w:val="Normal Indent"/>
    <w:basedOn w:val="Normal"/>
    <w:qFormat/>
    <w:pPr>
      <w:ind w:hanging="0" w:start="720" w:end="0"/>
    </w:pPr>
    <w:rPr/>
  </w:style>
  <w:style w:type="paragraph" w:styleId="NoteHeading">
    <w:name w:val="Note Heading"/>
    <w:basedOn w:val="Normal"/>
    <w:next w:val="BodyText"/>
    <w:qFormat/>
    <w:pPr/>
    <w:rPr/>
  </w:style>
  <w:style w:type="paragraph" w:styleId="PlainText">
    <w:name w:val="Plain Text"/>
    <w:basedOn w:val="Normal"/>
    <w:qFormat/>
    <w:pPr/>
    <w:rPr>
      <w:sz w:val="20"/>
    </w:rPr>
  </w:style>
  <w:style w:type="paragraph" w:styleId="Quote">
    <w:name w:val="Quote"/>
    <w:basedOn w:val="Normal"/>
    <w:next w:val="BodyText"/>
    <w:qFormat/>
    <w:pPr>
      <w:spacing w:before="0" w:after="240"/>
      <w:ind w:hanging="0" w:start="1440" w:end="1440"/>
    </w:pPr>
    <w:rPr/>
  </w:style>
  <w:style w:type="paragraph" w:styleId="Salutation">
    <w:name w:val="Salutation"/>
    <w:basedOn w:val="Normal"/>
    <w:next w:val="BodyText"/>
    <w:qFormat/>
    <w:pPr>
      <w:spacing w:before="0" w:after="240"/>
    </w:pPr>
    <w:rPr/>
  </w:style>
  <w:style w:type="paragraph" w:styleId="Subtitle">
    <w:name w:val="Subtitle"/>
    <w:basedOn w:val="Normal"/>
    <w:next w:val="BodyText"/>
    <w:qFormat/>
    <w:pPr>
      <w:keepNext w:val="true"/>
      <w:spacing w:before="0" w:after="240"/>
      <w:jc w:val="center"/>
    </w:pPr>
    <w:rPr>
      <w:rFonts w:ascii="Times New Roman" w:hAnsi="Times New Roman" w:cs="Times New Roman"/>
      <w:b/>
    </w:rPr>
  </w:style>
  <w:style w:type="paragraph" w:styleId="TableofAuthorities">
    <w:name w:val="Table of Authorities"/>
    <w:basedOn w:val="Normal"/>
    <w:next w:val="Normal"/>
    <w:qFormat/>
    <w:pPr>
      <w:spacing w:before="0" w:after="120"/>
      <w:ind w:hanging="245" w:start="245" w:end="0"/>
    </w:pPr>
    <w:rPr/>
  </w:style>
  <w:style w:type="paragraph" w:styleId="TableofFigures">
    <w:name w:val="Table of Figures"/>
    <w:basedOn w:val="Normal"/>
    <w:next w:val="Normal"/>
    <w:qFormat/>
    <w:pPr>
      <w:spacing w:before="0" w:after="120"/>
      <w:ind w:hanging="475" w:start="475" w:end="0"/>
    </w:pPr>
    <w:rPr/>
  </w:style>
  <w:style w:type="paragraph" w:styleId="TOAHeading">
    <w:name w:val="TOA Heading"/>
    <w:basedOn w:val="Normal"/>
    <w:next w:val="Normal"/>
    <w:qFormat/>
    <w:pPr>
      <w:spacing w:before="0" w:after="240"/>
      <w:jc w:val="center"/>
      <w:outlineLvl w:val="0"/>
    </w:pPr>
    <w:rPr>
      <w:rFonts w:ascii="Times New Roman" w:hAnsi="Times New Roman" w:cs="Times New Roman"/>
      <w:b/>
    </w:rPr>
  </w:style>
  <w:style w:type="paragraph" w:styleId="TOC1">
    <w:name w:val="toc 1"/>
    <w:basedOn w:val="Normal"/>
    <w:next w:val="Normal"/>
    <w:pPr/>
    <w:rPr/>
  </w:style>
  <w:style w:type="paragraph" w:styleId="TOC2">
    <w:name w:val="toc 2"/>
    <w:basedOn w:val="Normal"/>
    <w:next w:val="Normal"/>
    <w:pPr>
      <w:ind w:hanging="0" w:start="245" w:end="0"/>
    </w:pPr>
    <w:rPr/>
  </w:style>
  <w:style w:type="paragraph" w:styleId="TOC3">
    <w:name w:val="toc 3"/>
    <w:basedOn w:val="Normal"/>
    <w:next w:val="Normal"/>
    <w:pPr>
      <w:ind w:hanging="0" w:start="475"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5" w:end="0"/>
    </w:pPr>
    <w:rPr/>
  </w:style>
  <w:style w:type="paragraph" w:styleId="TOC6">
    <w:name w:val="toc 6"/>
    <w:basedOn w:val="Normal"/>
    <w:next w:val="Normal"/>
    <w:pPr>
      <w:ind w:hanging="0" w:start="1195"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5" w:end="0"/>
    </w:pPr>
    <w:rPr/>
  </w:style>
  <w:style w:type="paragraph" w:styleId="TOC9">
    <w:name w:val="toc 9"/>
    <w:basedOn w:val="Normal"/>
    <w:next w:val="Normal"/>
    <w:pPr>
      <w:ind w:hanging="0" w:start="1915" w:end="0"/>
    </w:pPr>
    <w:rPr/>
  </w:style>
  <w:style w:type="paragraph" w:styleId="Underline">
    <w:name w:val="Underline"/>
    <w:basedOn w:val="Normal"/>
    <w:next w:val="BodyText"/>
    <w:qFormat/>
    <w:pPr>
      <w:keepNext w:val="true"/>
      <w:spacing w:before="0" w:after="240"/>
    </w:pPr>
    <w:rPr>
      <w:u w:val="single"/>
    </w:rPr>
  </w:style>
  <w:style w:type="paragraph" w:styleId="ARABICLECont1">
    <w:name w:val="ARABICLE Cont 1"/>
    <w:basedOn w:val="Normal"/>
    <w:next w:val="BodyText"/>
    <w:qFormat/>
    <w:pPr>
      <w:keepNext w:val="true"/>
      <w:tabs>
        <w:tab w:val="clear" w:pos="720"/>
        <w:tab w:val="left" w:pos="1440" w:leader="none"/>
      </w:tabs>
      <w:spacing w:before="0" w:after="240"/>
      <w:ind w:firstLine="720" w:start="0" w:end="0"/>
    </w:pPr>
    <w:rPr/>
  </w:style>
  <w:style w:type="paragraph" w:styleId="ARABICLECont2">
    <w:name w:val="ARABICLE Cont 2"/>
    <w:basedOn w:val="Normal"/>
    <w:next w:val="BodyText"/>
    <w:qFormat/>
    <w:pPr>
      <w:tabs>
        <w:tab w:val="clear" w:pos="720"/>
        <w:tab w:val="left" w:pos="1440" w:leader="none"/>
      </w:tabs>
      <w:spacing w:before="0" w:after="240"/>
      <w:ind w:firstLine="720" w:start="0" w:end="0"/>
    </w:pPr>
    <w:rPr/>
  </w:style>
  <w:style w:type="paragraph" w:styleId="ARABICLECont3">
    <w:name w:val="ARABICLE Cont 3"/>
    <w:basedOn w:val="Normal"/>
    <w:next w:val="BodyText"/>
    <w:qFormat/>
    <w:pPr>
      <w:tabs>
        <w:tab w:val="clear" w:pos="720"/>
        <w:tab w:val="left" w:pos="1440" w:leader="none"/>
      </w:tabs>
      <w:spacing w:before="0" w:after="240"/>
      <w:ind w:firstLine="720" w:start="0" w:end="0"/>
    </w:pPr>
    <w:rPr/>
  </w:style>
  <w:style w:type="paragraph" w:styleId="ARABICLECont4">
    <w:name w:val="ARABICLE Cont 4"/>
    <w:basedOn w:val="Normal"/>
    <w:next w:val="BodyText"/>
    <w:qFormat/>
    <w:pPr>
      <w:tabs>
        <w:tab w:val="clear" w:pos="720"/>
        <w:tab w:val="left" w:pos="1440" w:leader="none"/>
      </w:tabs>
      <w:spacing w:before="0" w:after="240"/>
      <w:ind w:hanging="720" w:start="1440" w:end="0"/>
    </w:pPr>
    <w:rPr/>
  </w:style>
  <w:style w:type="paragraph" w:styleId="ARABICLECont5">
    <w:name w:val="ARABICLE Cont 5"/>
    <w:basedOn w:val="Normal"/>
    <w:next w:val="BodyText"/>
    <w:qFormat/>
    <w:pPr>
      <w:tabs>
        <w:tab w:val="clear" w:pos="720"/>
        <w:tab w:val="left" w:pos="2160" w:leader="none"/>
      </w:tabs>
      <w:spacing w:before="0" w:after="240"/>
      <w:ind w:hanging="720" w:start="2160" w:end="0"/>
    </w:pPr>
    <w:rPr/>
  </w:style>
  <w:style w:type="paragraph" w:styleId="ARABICLECont6">
    <w:name w:val="ARABICLE Cont 6"/>
    <w:basedOn w:val="Normal"/>
    <w:next w:val="BodyText"/>
    <w:qFormat/>
    <w:pPr>
      <w:tabs>
        <w:tab w:val="left" w:pos="720" w:leader="none"/>
      </w:tabs>
      <w:spacing w:before="0" w:after="240"/>
    </w:pPr>
    <w:rPr/>
  </w:style>
  <w:style w:type="paragraph" w:styleId="ARABICLECont7">
    <w:name w:val="ARABICLE Cont 7"/>
    <w:basedOn w:val="Normal"/>
    <w:next w:val="BodyText"/>
    <w:qFormat/>
    <w:pPr>
      <w:tabs>
        <w:tab w:val="left" w:pos="720" w:leader="none"/>
      </w:tabs>
      <w:spacing w:before="0" w:after="240"/>
    </w:pPr>
    <w:rPr/>
  </w:style>
  <w:style w:type="paragraph" w:styleId="ARABICLECont8">
    <w:name w:val="ARABICLE Cont 8"/>
    <w:basedOn w:val="Normal"/>
    <w:next w:val="BodyText"/>
    <w:qFormat/>
    <w:pPr>
      <w:tabs>
        <w:tab w:val="left" w:pos="720" w:leader="none"/>
      </w:tabs>
      <w:spacing w:before="0" w:after="240"/>
    </w:pPr>
    <w:rPr/>
  </w:style>
  <w:style w:type="paragraph" w:styleId="ARABICLECont9">
    <w:name w:val="ARABICLE Cont 9"/>
    <w:basedOn w:val="Normal"/>
    <w:next w:val="BodyText"/>
    <w:qFormat/>
    <w:pPr>
      <w:tabs>
        <w:tab w:val="left" w:pos="720" w:leader="none"/>
      </w:tabs>
      <w:spacing w:before="0" w:after="240"/>
    </w:pPr>
    <w:rPr/>
  </w:style>
  <w:style w:type="paragraph" w:styleId="ARABICLEL1">
    <w:name w:val="ARABICLE_L1"/>
    <w:basedOn w:val="Normal"/>
    <w:next w:val="BodyText"/>
    <w:qFormat/>
    <w:pPr>
      <w:keepNext w:val="true"/>
      <w:spacing w:before="0" w:after="240"/>
      <w:outlineLvl w:val="0"/>
    </w:pPr>
    <w:rPr/>
  </w:style>
  <w:style w:type="paragraph" w:styleId="ARABICLEL2">
    <w:name w:val="ARABICLE_L2"/>
    <w:basedOn w:val="Normal"/>
    <w:next w:val="BodyText"/>
    <w:qFormat/>
    <w:pPr>
      <w:spacing w:before="0" w:after="240"/>
      <w:outlineLvl w:val="1"/>
    </w:pPr>
    <w:rPr/>
  </w:style>
  <w:style w:type="paragraph" w:styleId="ARABICLEL3">
    <w:name w:val="ARABICLE_L3"/>
    <w:basedOn w:val="Normal"/>
    <w:next w:val="BodyText"/>
    <w:qFormat/>
    <w:pPr>
      <w:spacing w:before="0" w:after="240"/>
      <w:outlineLvl w:val="2"/>
    </w:pPr>
    <w:rPr/>
  </w:style>
  <w:style w:type="paragraph" w:styleId="ARABICLEL4">
    <w:name w:val="ARABICLE_L4"/>
    <w:basedOn w:val="Normal"/>
    <w:next w:val="BodyText"/>
    <w:qFormat/>
    <w:pPr>
      <w:spacing w:before="0" w:after="240"/>
      <w:outlineLvl w:val="3"/>
    </w:pPr>
    <w:rPr/>
  </w:style>
  <w:style w:type="paragraph" w:styleId="ARABICLEL5">
    <w:name w:val="ARABICLE_L5"/>
    <w:basedOn w:val="Normal"/>
    <w:next w:val="BodyText"/>
    <w:qFormat/>
    <w:pPr>
      <w:spacing w:before="0" w:after="240"/>
      <w:outlineLvl w:val="4"/>
    </w:pPr>
    <w:rPr/>
  </w:style>
  <w:style w:type="paragraph" w:styleId="ARABICLEL6">
    <w:name w:val="ARABICLE_L6"/>
    <w:basedOn w:val="Normal"/>
    <w:next w:val="BodyText"/>
    <w:qFormat/>
    <w:pPr>
      <w:spacing w:before="0" w:after="240"/>
      <w:outlineLvl w:val="5"/>
    </w:pPr>
    <w:rPr/>
  </w:style>
  <w:style w:type="paragraph" w:styleId="ARABICLEL7">
    <w:name w:val="ARABICLE_L7"/>
    <w:basedOn w:val="Normal"/>
    <w:next w:val="BodyText"/>
    <w:qFormat/>
    <w:pPr>
      <w:spacing w:before="0" w:after="240"/>
      <w:outlineLvl w:val="6"/>
    </w:pPr>
    <w:rPr/>
  </w:style>
  <w:style w:type="paragraph" w:styleId="ARABICLEL8">
    <w:name w:val="ARABICLE_L8"/>
    <w:basedOn w:val="Normal"/>
    <w:next w:val="BodyText"/>
    <w:qFormat/>
    <w:pPr>
      <w:spacing w:before="0" w:after="240"/>
      <w:outlineLvl w:val="7"/>
    </w:pPr>
    <w:rPr/>
  </w:style>
  <w:style w:type="paragraph" w:styleId="ARABICLEL9">
    <w:name w:val="ARABICLE_L9"/>
    <w:basedOn w:val="Normal"/>
    <w:next w:val="BodyText"/>
    <w:qFormat/>
    <w:pPr>
      <w:spacing w:before="0" w:after="240"/>
      <w:outlineLvl w:val="8"/>
    </w:pPr>
    <w:rPr/>
  </w:style>
  <w:style w:type="paragraph" w:styleId="BodyHang5">
    <w:name w:val="Body Hang .5"/>
    <w:basedOn w:val="Normal"/>
    <w:qFormat/>
    <w:pPr>
      <w:spacing w:before="0" w:after="240"/>
      <w:ind w:hanging="720" w:start="1440" w:end="0"/>
    </w:pPr>
    <w:rPr/>
  </w:style>
  <w:style w:type="paragraph" w:styleId="BodyHang1">
    <w:name w:val="Body Hang 1&quot;"/>
    <w:basedOn w:val="BodyHang5"/>
    <w:qFormat/>
    <w:pPr>
      <w:ind w:hanging="720" w:start="2160" w:end="0"/>
    </w:pPr>
    <w:rPr/>
  </w:style>
  <w:style w:type="paragraph" w:styleId="BodyHang">
    <w:name w:val="Body Hang"/>
    <w:basedOn w:val="BodyHang5"/>
    <w:qFormat/>
    <w:pPr>
      <w:ind w:hanging="720" w:start="720" w:end="0"/>
    </w:pPr>
    <w:rPr/>
  </w:style>
  <w:style w:type="paragraph" w:styleId="CENTER">
    <w:name w:val="CENTER"/>
    <w:basedOn w:val="Normal"/>
    <w:qFormat/>
    <w:pPr>
      <w:spacing w:before="240" w:after="0"/>
      <w:jc w:val="center"/>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Business</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2001-09-20T19:18:00Z</dcterms:created>
  <dc:creator>Registered User</dc:creator>
  <dc:description/>
  <dc:language>en-CA</dc:language>
  <cp:lastModifiedBy>Maria Viray</cp:lastModifiedBy>
  <cp:lastPrinted>2001-09-20T16:51:00Z</cp:lastPrinted>
  <dcterms:modified xsi:type="dcterms:W3CDTF">2001-09-20T19:22:00Z</dcterms:modified>
  <cp:revision>4</cp:revision>
  <dc:subject/>
  <dc:title>Agreement of First Amendment</dc:title>
</cp:coreProperties>
</file>