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
        <w:widowControl w:val="false"/>
        <w:rPr>
          <w:lang w:val="en-US"/>
        </w:rPr>
      </w:pPr>
      <w:r>
        <w:rPr>
          <w:lang w:val="en-US"/>
        </w:rPr>
        <w:t>LONG TERM POWER PURCHASE AGREEMENT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This Agreement is made and entered into by and between, of the one side,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ab/>
      </w:r>
      <w:r>
        <w:rPr>
          <w:rFonts w:cs="CG Times;Times New Roman" w:ascii="CG Times;Times New Roman" w:hAnsi="CG Times;Times New Roman"/>
          <w:b/>
          <w:sz w:val="24"/>
          <w:lang w:val="en-US"/>
        </w:rPr>
        <w:t>ENRON COMERCIALIZADORA DE ENERGIA LTDA.</w:t>
      </w:r>
      <w:r>
        <w:rPr>
          <w:rFonts w:cs="CG Times;Times New Roman" w:ascii="CG Times;Times New Roman" w:hAnsi="CG Times;Times New Roman"/>
          <w:sz w:val="24"/>
          <w:lang w:val="en-US"/>
        </w:rPr>
        <w:t>, electrical energy marketer, duly authorized by Agência Nacional de Energia Elétrica – ANEEL, under the terms of Resolution No. 265, of August 13, 1998 and Resolution No. 001, of January 6, 1999, with principal offices in the City of São Paulo, at Avenida das Nações Unidas, 11,541, 7</w:t>
      </w:r>
      <w:r>
        <w:rPr>
          <w:rFonts w:cs="CG Times;Times New Roman" w:ascii="CG Times;Times New Roman" w:hAnsi="CG Times;Times New Roman"/>
          <w:sz w:val="24"/>
          <w:vertAlign w:val="superscript"/>
          <w:lang w:val="en-US"/>
        </w:rPr>
        <w:t>th</w:t>
      </w:r>
      <w:r>
        <w:rPr>
          <w:rFonts w:cs="CG Times;Times New Roman" w:ascii="CG Times;Times New Roman" w:hAnsi="CG Times;Times New Roman"/>
          <w:sz w:val="24"/>
          <w:lang w:val="en-US"/>
        </w:rPr>
        <w:t xml:space="preserve"> floor, suite 20, enrolled with the Corporate Taxpayers Registry of the Ministry of Finance (“CNPJ”) under No. 02.754.177/0001-09, hereinafter referred to as “MARKETER”;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center"/>
        <w:rPr>
          <w:rFonts w:ascii="CG Times;Times New Roman" w:hAnsi="CG Times;Times New Roman" w:cs="CG Times;Times New Roman"/>
          <w:sz w:val="24"/>
          <w:lang w:val="en-US"/>
        </w:rPr>
      </w:pPr>
      <w:r>
        <w:rPr>
          <w:rFonts w:cs="CG Times;Times New Roman" w:ascii="CG Times;Times New Roman" w:hAnsi="CG Times;Times New Roman"/>
          <w:sz w:val="24"/>
          <w:lang w:val="en-US"/>
        </w:rPr>
        <w:t>and, of the other side,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2"/>
        <w:widowControl w:val="false"/>
        <w:rPr/>
      </w:pPr>
      <w:r>
        <w:rPr/>
        <w:tab/>
        <w:tab/>
      </w:r>
      <w:r>
        <w:rPr>
          <w:b/>
        </w:rPr>
        <w:t>USINA MOEMA AÇÚCAR E ÁLCOOL S.A.</w:t>
      </w:r>
      <w:r>
        <w:rPr/>
        <w:t>, corporation with principal offices in the City of Orindiuva, at Fazenda Moema, enrolled with the CNPJ under No. 49.652.290/0001-47, hereinafter referred to as “MOEMA”;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
        <w:widowControl w:val="false"/>
        <w:rPr>
          <w:lang w:val="en-US"/>
        </w:rPr>
      </w:pPr>
      <w:r>
        <w:rPr>
          <w:lang w:val="en-US"/>
        </w:rPr>
        <w:t>WHEREAS: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w:t>
        <w:tab/>
        <w:t>MARKETER is a trader of electric energy duly authorized by ANEEL to run its activities;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(B)</w:t>
        <w:tab/>
        <w:t>MOEMA has requested to ANEEL an authorization to act as a self-producer of power;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3"/>
        <w:widowControl w:val="false"/>
        <w:jc w:val="both"/>
        <w:rPr/>
      </w:pPr>
      <w:r>
        <w:rPr/>
        <w:tab/>
        <w:t>(C)</w:t>
        <w:tab/>
        <w:t>MOEMA owns electric energy generation facilities and, upon the grant of ANEEL’s authorization, the electric energy generated thereby will be primarily designed to the satisfaction of MOEMA’s needs and to the compliance with commitments undertaken before third parties;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(D)</w:t>
        <w:tab/>
        <w:t>MOEMA currently has available electric energy, which exceeds its own necessities and contractual obligations, both firm and not firm, and will continue to have it during all the term of this Agreement;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(E)</w:t>
        <w:tab/>
        <w:t>MOEMA and MARKETER (collectively the “Parties”) agreed as to the supply of electric energy surplus under the terms provided hereby and for the period mentioned herein;</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NOW, THEREFORE, MOEMA and MARKETER hereby agree as follows: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
        <w:widowControl w:val="false"/>
        <w:rPr/>
      </w:pPr>
      <w:r>
        <w:rPr>
          <w:u w:val="single"/>
          <w:lang w:val="en-US"/>
        </w:rPr>
        <w:t>Definitions</w:t>
      </w:r>
      <w:r>
        <w:rPr>
          <w:lang w:val="en-US"/>
        </w:rPr>
        <w: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First Clause</w:t>
      </w:r>
      <w:r>
        <w:rPr>
          <w:rFonts w:cs="CG Times;Times New Roman" w:ascii="CG Times;Times New Roman" w:hAnsi="CG Times;Times New Roman"/>
          <w:sz w:val="24"/>
          <w:lang w:val="en-US"/>
        </w:rPr>
        <w:t xml:space="preserve"> - The capitalized terms used herein shall have the meanings ascribed to them below and in the Sole Annex hereto:</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(a)</w:t>
        <w:tab/>
      </w:r>
      <w:r>
        <w:rPr>
          <w:rFonts w:cs="CG Times;Times New Roman" w:ascii="CG Times;Times New Roman" w:hAnsi="CG Times;Times New Roman"/>
          <w:b/>
          <w:i/>
          <w:sz w:val="24"/>
          <w:lang w:val="en-US"/>
        </w:rPr>
        <w:t>Agreement</w:t>
      </w:r>
      <w:r>
        <w:rPr>
          <w:rFonts w:cs="CG Times;Times New Roman" w:ascii="CG Times;Times New Roman" w:hAnsi="CG Times;Times New Roman"/>
          <w:sz w:val="24"/>
          <w:lang w:val="en-US"/>
        </w:rPr>
        <w:t xml:space="preserve"> - means this Long Term Power Purchase Agreement between MARKETER and MOEMA.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(b)</w:t>
        <w:tab/>
      </w:r>
      <w:r>
        <w:rPr>
          <w:rFonts w:cs="CG Times;Times New Roman" w:ascii="CG Times;Times New Roman" w:hAnsi="CG Times;Times New Roman"/>
          <w:b/>
          <w:i/>
          <w:sz w:val="24"/>
          <w:lang w:val="en-US"/>
        </w:rPr>
        <w:t xml:space="preserve">Agreement of Connection to the Grid </w:t>
      </w:r>
      <w:r>
        <w:rPr>
          <w:rFonts w:cs="CG Times;Times New Roman" w:ascii="CG Times;Times New Roman" w:hAnsi="CG Times;Times New Roman"/>
          <w:sz w:val="24"/>
          <w:lang w:val="en-US"/>
        </w:rPr>
        <w:t>- means the agreement executed between MOEMA and the Distributor, defining rights and obligations of the parties, regarding the connection of MOEMA to the distribution system of the Distributor, accordingly to ANEEL’s Resolution No. 281, of October 01, 1999 (hereinafter referred to as “Resolution 281”);</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(c)</w:t>
        <w:tab/>
      </w:r>
      <w:r>
        <w:rPr>
          <w:rFonts w:cs="CG Times;Times New Roman" w:ascii="CG Times;Times New Roman" w:hAnsi="CG Times;Times New Roman"/>
          <w:b/>
          <w:i/>
          <w:sz w:val="24"/>
          <w:lang w:val="en-US"/>
        </w:rPr>
        <w:t>Agreement of Use of the Transmission System</w:t>
      </w:r>
      <w:r>
        <w:rPr>
          <w:rFonts w:cs="CG Times;Times New Roman" w:ascii="CG Times;Times New Roman" w:hAnsi="CG Times;Times New Roman"/>
          <w:sz w:val="24"/>
          <w:lang w:val="en-US"/>
        </w:rPr>
        <w:t xml:space="preserve"> - </w:t>
        <w:tab/>
        <w:t>means the agreement executed between MOEMA and ONS, defining the rights and obligations of the parties, regarding the access to the transmission systems, accordingly to Resolution No.281;</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(d)</w:t>
        <w:tab/>
      </w:r>
      <w:r>
        <w:rPr>
          <w:rFonts w:cs="CG Times;Times New Roman" w:ascii="CG Times;Times New Roman" w:hAnsi="CG Times;Times New Roman"/>
          <w:b/>
          <w:i/>
          <w:sz w:val="24"/>
          <w:lang w:val="en-US"/>
        </w:rPr>
        <w:t>Agreement of Use of the Distribution System</w:t>
      </w:r>
      <w:r>
        <w:rPr>
          <w:rFonts w:cs="CG Times;Times New Roman" w:ascii="CG Times;Times New Roman" w:hAnsi="CG Times;Times New Roman"/>
          <w:sz w:val="24"/>
          <w:lang w:val="en-US"/>
        </w:rPr>
        <w:t xml:space="preserve"> - </w:t>
        <w:tab/>
        <w:t>means the agreement executed between MOEMA and the Distributor, defining the rights and obligations of the parties, regarding the access to the distribution systems of the Distributor, accordingly to Resolution No.281;</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(e)</w:t>
        <w:tab/>
      </w:r>
      <w:r>
        <w:rPr>
          <w:rFonts w:cs="CG Times;Times New Roman" w:ascii="CG Times;Times New Roman" w:hAnsi="CG Times;Times New Roman"/>
          <w:b/>
          <w:i/>
          <w:sz w:val="24"/>
          <w:lang w:val="en-US"/>
        </w:rPr>
        <w:t>ANEEL</w:t>
      </w:r>
      <w:r>
        <w:rPr>
          <w:rFonts w:cs="CG Times;Times New Roman" w:ascii="CG Times;Times New Roman" w:hAnsi="CG Times;Times New Roman"/>
          <w:sz w:val="24"/>
          <w:lang w:val="en-US"/>
        </w:rPr>
        <w:t xml:space="preserve"> – means the Brazilian Electricity Regulatory Agency, created by Law No. 9.247, of December 26, 1996, and an eventual successor;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(f)</w:t>
        <w:tab/>
      </w:r>
      <w:r>
        <w:rPr>
          <w:rFonts w:cs="CG Times;Times New Roman" w:ascii="CG Times;Times New Roman" w:hAnsi="CG Times;Times New Roman"/>
          <w:b/>
          <w:i/>
          <w:sz w:val="24"/>
          <w:lang w:val="en-US"/>
        </w:rPr>
        <w:t>Delivery Point</w:t>
      </w:r>
      <w:r>
        <w:rPr>
          <w:rFonts w:cs="CG Times;Times New Roman" w:ascii="CG Times;Times New Roman" w:hAnsi="CG Times;Times New Roman"/>
          <w:sz w:val="24"/>
          <w:lang w:val="en-US"/>
        </w:rPr>
        <w:t xml:space="preserve"> – means the delivery point of Electric Energy by MOEMA to MARKETER in compliance with its contractual obligations.  For the purposes of this Agreement, the Delivery Point is specified in the Sole Annex hereto.</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(g)</w:t>
        <w:tab/>
      </w:r>
      <w:r>
        <w:rPr>
          <w:rFonts w:cs="CG Times;Times New Roman" w:ascii="CG Times;Times New Roman" w:hAnsi="CG Times;Times New Roman"/>
          <w:b/>
          <w:i/>
          <w:sz w:val="24"/>
          <w:lang w:val="en-US"/>
        </w:rPr>
        <w:t>Distributor</w:t>
      </w:r>
      <w:r>
        <w:rPr>
          <w:rFonts w:cs="CG Times;Times New Roman" w:ascii="CG Times;Times New Roman" w:hAnsi="CG Times;Times New Roman"/>
          <w:sz w:val="24"/>
          <w:lang w:val="en-US"/>
        </w:rPr>
        <w:t xml:space="preserve"> - </w:t>
        <w:tab/>
        <w:t>means the electric energy distribution concessionaire, to which MARKETER is bound;</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(h)</w:t>
        <w:tab/>
      </w:r>
      <w:r>
        <w:rPr>
          <w:rFonts w:cs="CG Times;Times New Roman" w:ascii="CG Times;Times New Roman" w:hAnsi="CG Times;Times New Roman"/>
          <w:b/>
          <w:i/>
          <w:sz w:val="24"/>
          <w:lang w:val="en-US"/>
        </w:rPr>
        <w:t>Electric Energy</w:t>
      </w:r>
      <w:r>
        <w:rPr>
          <w:rFonts w:cs="CG Times;Times New Roman" w:ascii="CG Times;Times New Roman" w:hAnsi="CG Times;Times New Roman"/>
          <w:sz w:val="24"/>
          <w:lang w:val="en-US"/>
        </w:rPr>
        <w:t xml:space="preserve"> - means the amount of firm and not firm electric energy, expressed in MWh, to be supplied by MOEMA to MARKETER, under the terms set forth herein and during all the life of this Agreement, to wit: 1.7MW of firm energy and 0.3MW of not firm energy, to be delivered in accordance with the Monthly Delivery Schedule;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(i)</w:t>
        <w:tab/>
      </w:r>
      <w:r>
        <w:rPr>
          <w:rFonts w:cs="CG Times;Times New Roman" w:ascii="CG Times;Times New Roman" w:hAnsi="CG Times;Times New Roman"/>
          <w:b/>
          <w:i/>
          <w:sz w:val="24"/>
          <w:lang w:val="en-US"/>
        </w:rPr>
        <w:t>Force Majeure</w:t>
      </w:r>
      <w:r>
        <w:rPr>
          <w:rFonts w:cs="CG Times;Times New Roman" w:ascii="CG Times;Times New Roman" w:hAnsi="CG Times;Times New Roman"/>
          <w:sz w:val="24"/>
          <w:lang w:val="en-US"/>
        </w:rPr>
        <w:t xml:space="preserve"> – means any event that may occur, during the term hereof, and which qualifies as a force majeure event under the definition contained in the sole paragraph of article 1,058, of the Brazilian Civil Code.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(j)</w:t>
        <w:tab/>
      </w:r>
      <w:r>
        <w:rPr>
          <w:rFonts w:cs="CG Times;Times New Roman" w:ascii="CG Times;Times New Roman" w:hAnsi="CG Times;Times New Roman"/>
          <w:b/>
          <w:i/>
          <w:sz w:val="24"/>
          <w:lang w:val="en-US"/>
        </w:rPr>
        <w:t>MAE</w:t>
      </w:r>
      <w:r>
        <w:rPr>
          <w:rFonts w:cs="CG Times;Times New Roman" w:ascii="CG Times;Times New Roman" w:hAnsi="CG Times;Times New Roman"/>
          <w:sz w:val="24"/>
          <w:lang w:val="en-US"/>
        </w:rPr>
        <w:t xml:space="preserve"> – means the Wholesale Energy Market, created upon a market agreement as provided for under the Law No. 9,648 of May 27, 1998;</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(k)</w:t>
        <w:tab/>
      </w:r>
      <w:r>
        <w:rPr>
          <w:rFonts w:cs="CG Times;Times New Roman" w:ascii="CG Times;Times New Roman" w:hAnsi="CG Times;Times New Roman"/>
          <w:b/>
          <w:i/>
          <w:sz w:val="24"/>
          <w:lang w:val="en-US"/>
        </w:rPr>
        <w:t>Monthly Delivery Schedule</w:t>
      </w:r>
      <w:r>
        <w:rPr>
          <w:rFonts w:cs="CG Times;Times New Roman" w:ascii="CG Times;Times New Roman" w:hAnsi="CG Times;Times New Roman"/>
          <w:sz w:val="24"/>
          <w:lang w:val="en-US"/>
        </w:rPr>
        <w:t xml:space="preserve"> – means the schedule prepared by the Parties with respect to the amounts of Electric Energy to be monthly supplied by MOEMA to MARKETER, which is contained in the Sole Annex hereto;</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sz w:val="24"/>
          <w:lang w:val="en-US"/>
        </w:rPr>
        <w:tab/>
        <w:t>(l)</w:t>
        <w:tab/>
      </w:r>
      <w:r>
        <w:rPr>
          <w:rFonts w:cs="CG Times;Times New Roman" w:ascii="CG Times;Times New Roman" w:hAnsi="CG Times;Times New Roman"/>
          <w:b/>
          <w:i/>
          <w:sz w:val="24"/>
          <w:lang w:val="en-US"/>
        </w:rPr>
        <w:t>ONS</w:t>
      </w:r>
      <w:r>
        <w:rPr>
          <w:rFonts w:cs="CG Times;Times New Roman" w:ascii="CG Times;Times New Roman" w:hAnsi="CG Times;Times New Roman"/>
          <w:sz w:val="24"/>
          <w:lang w:val="en-US"/>
        </w:rPr>
        <w:t xml:space="preserve"> – means the National Operator of the Electrical System, a private legal entity, created as provided for under the Law No. 9468/98, or any successor.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Heading5"/>
        <w:keepNext w:val="false"/>
        <w:widowControl w:val="false"/>
        <w:ind w:hanging="0" w:start="0"/>
        <w:rPr/>
      </w:pPr>
      <w:r>
        <w:rPr/>
        <w:t>PURPOSE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Second Clause</w:t>
      </w:r>
      <w:r>
        <w:rPr>
          <w:rFonts w:cs="CG Times;Times New Roman" w:ascii="CG Times;Times New Roman" w:hAnsi="CG Times;Times New Roman"/>
          <w:sz w:val="24"/>
          <w:lang w:val="en-US"/>
        </w:rPr>
        <w:t xml:space="preserve"> - </w:t>
        <w:tab/>
        <w:t>MOEMA hereby undertakes to sell Electric Energy to MARKETER, and MARKETER hereby undertakes to purchase Electric Energy from MOEMA, under the terms and conditions set forth herein and with due observance of Law No.</w:t>
      </w:r>
      <w:r>
        <w:rPr>
          <w:sz w:val="24"/>
          <w:lang w:val="en-US"/>
        </w:rPr>
        <w:t xml:space="preserve"> 9,074, of July 7, 1995, Decree No. 2,003, of September 10, 1996, Law No. 9,648, of May 27, 1998</w:t>
      </w:r>
      <w:r>
        <w:rPr>
          <w:rFonts w:cs="CG Times;Times New Roman" w:ascii="CG Times;Times New Roman" w:hAnsi="CG Times;Times New Roman"/>
          <w:sz w:val="24"/>
          <w:lang w:val="en-US"/>
        </w:rPr>
        <w:t xml:space="preserve"> and the applicable regulations.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Third Clause</w:t>
      </w:r>
      <w:r>
        <w:rPr>
          <w:rFonts w:cs="CG Times;Times New Roman" w:ascii="CG Times;Times New Roman" w:hAnsi="CG Times;Times New Roman"/>
          <w:sz w:val="24"/>
          <w:lang w:val="en-US"/>
        </w:rPr>
        <w:t xml:space="preserve"> - </w:t>
        <w:tab/>
        <w:t>The terms and conditions applicable to the supply provided for in this Agreement, including the price per MWh and the adjustment conditions, are described in the Sole Annex hereto, which, upon being initialed by the Parties, shall constitute an integral part hereof.</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Fourth Clause</w:t>
      </w:r>
      <w:r>
        <w:rPr>
          <w:rFonts w:cs="CG Times;Times New Roman" w:ascii="CG Times;Times New Roman" w:hAnsi="CG Times;Times New Roman"/>
          <w:sz w:val="24"/>
          <w:lang w:val="en-US"/>
        </w:rPr>
        <w:t xml:space="preserve"> - </w:t>
        <w:tab/>
        <w:t>MOEMA acknowledges that MARKETER, in the conduction of its business and under the terms of the regulatory authorization granted to it by ANEEL, shall resell all or part of the Electric Energy to electric energy distribution companies and/or authorization holders and/or free consumers, and/or MAE, as provided for under the applicable legislation in force.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Fifth Clause</w:t>
      </w:r>
      <w:r>
        <w:rPr>
          <w:rFonts w:cs="CG Times;Times New Roman" w:ascii="CG Times;Times New Roman" w:hAnsi="CG Times;Times New Roman"/>
          <w:sz w:val="24"/>
          <w:lang w:val="en-US"/>
        </w:rPr>
        <w:t xml:space="preserve"> - </w:t>
        <w:tab/>
        <w:t>It is hereby expressly understood and accepted that the metering of the energy amounts supplied by MOEMA to MARKETER shall be done at the Delivery Point.  The parties hereby agree and accept that the appropriate metering equipment shall be kept in good operation and maintenance conditions at the Delivery Point.  Exception made to the event described below, MOEMA will be exclusively responsible for the installation and maintenance of the metering equipment at the Delivery Point, and all costs derived from such installation and maintenance shall be at MOEMA’s exclusive expenses, MOEMA not being entitled to claim the reimbursement of any such amounts.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In case such metering equipment is owned by the Distributor, and if the Distributor demands the payment of any fees related to the use of the metering equipment, the MARKETER shall pay such costs.  In this case, the Distributor shall be solely responsible for the installation and operation of the metering equipment.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MOEMA undertakes to keep available to MARKETER all registries regarding the metering of Electric Energy supplied to MARKETER, during all the term hereof, and also to deliver to MARKETER, for MARKETER’s record and safekeeping, copies of the metering registries relating to all the supply period, prior to each date of liquidation of the relevant transaction at the MAE.  The metering records referred in this Clause shall contain, among other information, the energy metering and the maximum demand in each 15-minute interval.  MOEMA ensures to MARKETER the right to proceed, at any time, to the verification of the records of the metering of the supply of electric energy by MOEMA.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In the case the metering is made by the Distributor, both MOEMA and MARKETER shall endeavor their best efforts to assure that the Distributor provides the metering records under the terms and conditions mentioned above.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MOEMA hereby undertakes to give to MARKETER and Distributor, if applicable, full access to the generation facilities, in order to ensure that the metering is reflecting accurately the supply of electric energy under this Agreement.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MOEMA undertakes to proceed, at least on an annual basis, to the testing of the metering equipment, it being exclusively incumbent upon MOEMA to pay any costs related to or associated with such testing.</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Notwithstanding the foregoing, it is hereby expressly understood and accepted that the MARKETER may, at any time, request an extraordinary testing of the metering equipment, in order to verify its accuracy.  The inspections requested by MARKETER shall be performed by specialized firms.  The MARKETER shall pay all costs derived from any such inspection.</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Heading5"/>
        <w:keepNext w:val="false"/>
        <w:widowControl w:val="false"/>
        <w:ind w:hanging="0" w:start="0"/>
        <w:rPr/>
      </w:pPr>
      <w:r>
        <w:rPr/>
        <w:t>PAYMENT AND INVOICING</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Sixth Clause</w:t>
      </w:r>
      <w:r>
        <w:rPr>
          <w:rFonts w:cs="CG Times;Times New Roman" w:ascii="CG Times;Times New Roman" w:hAnsi="CG Times;Times New Roman"/>
          <w:sz w:val="24"/>
          <w:lang w:val="en-US"/>
        </w:rPr>
        <w:t xml:space="preserve"> - </w:t>
        <w:tab/>
        <w:t>Until the 5</w:t>
      </w:r>
      <w:r>
        <w:rPr>
          <w:rFonts w:cs="CG Times;Times New Roman" w:ascii="CG Times;Times New Roman" w:hAnsi="CG Times;Times New Roman"/>
          <w:sz w:val="24"/>
          <w:vertAlign w:val="superscript"/>
          <w:lang w:val="en-US"/>
        </w:rPr>
        <w:t>th</w:t>
      </w:r>
      <w:r>
        <w:rPr>
          <w:rFonts w:cs="CG Times;Times New Roman" w:ascii="CG Times;Times New Roman" w:hAnsi="CG Times;Times New Roman"/>
          <w:sz w:val="24"/>
          <w:lang w:val="en-US"/>
        </w:rPr>
        <w:t xml:space="preserve"> business day subsequent to the reading of the metering devices, as provided for in the Fifth Clause of this Agreement, MOEMA shall provide to the MARKETER an invoice evidencing the amount of Electric Energy actually supplied in the reference period of such invoice, expressed in MWh, and the total amount due, calculated by the multiplication of the total amount of MWh supplied by the price agreed per MWh and by the Loss Factor. On or before the 15</w:t>
      </w:r>
      <w:r>
        <w:rPr>
          <w:rFonts w:cs="CG Times;Times New Roman" w:ascii="CG Times;Times New Roman" w:hAnsi="CG Times;Times New Roman"/>
          <w:sz w:val="24"/>
          <w:vertAlign w:val="superscript"/>
          <w:lang w:val="en-US"/>
        </w:rPr>
        <w:t>th</w:t>
      </w:r>
      <w:r>
        <w:rPr>
          <w:rFonts w:cs="CG Times;Times New Roman" w:ascii="CG Times;Times New Roman" w:hAnsi="CG Times;Times New Roman"/>
          <w:sz w:val="24"/>
          <w:lang w:val="en-US"/>
        </w:rPr>
        <w:t xml:space="preserve"> business day of the subsequent month of the reference period of each invoice, MARKETER shall pay the amounts due by deposit or wire transfer to MOEMA’s bank account indicated below:</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b/>
        <w:t>Bank:</w:t>
        <w:tab/>
        <w:tab/>
        <w:tab/>
        <w:t>Banco Bradesco</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b/>
        <w:t>Agency:</w:t>
        <w:tab/>
        <w:tab/>
        <w:t>0718-8</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b/>
        <w:t>Account No.</w:t>
        <w:tab/>
        <w:tab/>
        <w:t>2481-3</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b/>
        <w:t>City:</w:t>
        <w:tab/>
        <w:tab/>
        <w:tab/>
        <w:t>Icém - SP</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b/>
        <w:tab/>
        <w:t>Responsible:</w:t>
        <w:tab/>
        <w:tab/>
        <w:t>Maria Meire Chaves de Almeida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MARKETER shall send a copy of each wire transfer receipt to MOEMA.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Seventh Clause</w:t>
      </w:r>
      <w:r>
        <w:rPr>
          <w:rFonts w:cs="CG Times;Times New Roman" w:ascii="CG Times;Times New Roman" w:hAnsi="CG Times;Times New Roman"/>
          <w:sz w:val="24"/>
          <w:lang w:val="en-US"/>
        </w:rPr>
        <w:t xml:space="preserve"> -</w:t>
        <w:tab/>
        <w:t>It is hereby expressly established and accepted that the contract price is inclusive of any and all costs and charges incurred by MOEMA regarding the generation of Electric Energy and the respective supply to the MARKETER.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MOEMA shall be exclusively responsible for any and all costs or charges imposed on it by law or any regulations, as well as the Loss Factor.</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Eighth Clause</w:t>
      </w:r>
      <w:r>
        <w:rPr>
          <w:rFonts w:cs="CG Times;Times New Roman" w:ascii="CG Times;Times New Roman" w:hAnsi="CG Times;Times New Roman"/>
          <w:sz w:val="24"/>
          <w:lang w:val="en-US"/>
        </w:rPr>
        <w:t xml:space="preserve"> -</w:t>
        <w:tab/>
        <w:t>Exception made to the costs and charges mentioned in Seventh Clause above, MOEMA shall not, in any circumstance, be responsible for the payment of any other costs or charges imposed on or associated with the sale of Electric Energy, including, without limitation, transmission losses from the Delivery Point until delivery to the ultimate consumer, being the costs and charges related to the connection and distribution from the Delivery Point paid solely by the MARKETER.  Each of the Parties expressly agrees and undertakes to indemnify and hold harmless the other Party from any claims arising from any act or incident occurring when title to the Electric Energy is vested in the indemnifying Party.</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3"/>
        <w:widowControl w:val="false"/>
        <w:jc w:val="both"/>
        <w:rPr/>
      </w:pPr>
      <w:r>
        <w:rPr>
          <w:b/>
          <w:u w:val="single"/>
        </w:rPr>
        <w:t>Ninth Clause</w:t>
      </w:r>
      <w:r>
        <w:rPr/>
        <w:t xml:space="preserve"> - </w:t>
        <w:tab/>
        <w:t>Should there exist, with respect to any invoice, undisputed amounts and amounts which liquidity and certainty is being disputed by MARKETER, the MARKETER, regardless of any claim made, shall pay the undisputed amounts when due, under penalty of the failure to pay that amounts being characterized as a default by MARKETER.  Once the dispute is settled, MARKETER shall pay, within a maximum of 5 days from the date the Parties reached agreement, the relevant balance plus interest at the rate of 1% per month, accrued from the due date of the respective invoice until the date of its actual payment.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Tenth Clause</w:t>
      </w:r>
      <w:r>
        <w:rPr>
          <w:rFonts w:cs="CG Times;Times New Roman" w:ascii="CG Times;Times New Roman" w:hAnsi="CG Times;Times New Roman"/>
          <w:sz w:val="24"/>
          <w:lang w:val="en-US"/>
        </w:rPr>
        <w:t xml:space="preserve"> -</w:t>
        <w:tab/>
        <w:t>If on the due date of an invoice, MARKETER has a credit of any undisputed amounts against MOEMA, as provided for hereunder, then MARKETER shall effect the payment of the balance outstanding after the relevant offset of credits and debts, provided that MARKETER serves a written notice to MOEMA of its intention to do so within the 24 hours subsequent to the receipt of the relevant invoice.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Heading5"/>
        <w:keepNext w:val="false"/>
        <w:widowControl w:val="false"/>
        <w:ind w:hanging="0" w:start="0"/>
        <w:rPr/>
      </w:pPr>
      <w:r>
        <w:rPr/>
        <w:t>TRANSFER OF TITLE</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Eleventh Clause</w:t>
      </w:r>
      <w:r>
        <w:rPr>
          <w:rFonts w:cs="CG Times;Times New Roman" w:ascii="CG Times;Times New Roman" w:hAnsi="CG Times;Times New Roman"/>
          <w:sz w:val="24"/>
          <w:lang w:val="en-US"/>
        </w:rPr>
        <w:t xml:space="preserve"> -</w:t>
        <w:tab/>
        <w:t>It is hereby expressly understood and accepted that the title to the Electric Energy shall be conveyed by MOEMA to MARKETER at the Delivery Point, and MOEMA undertakes to maintain its generation assets in good operating and maintenance conditions, in order to ensure the supply of Electric Energy under this Agreement, as well as the connection of its generation facilities to the Distributor’s Grid.</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Heading5"/>
        <w:keepNext w:val="false"/>
        <w:widowControl w:val="false"/>
        <w:ind w:hanging="0" w:start="0"/>
        <w:rPr/>
      </w:pPr>
      <w:r>
        <w:rPr/>
        <w:t>WORKS OF REINFORCEMENT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pPr>
      <w:r>
        <w:rPr>
          <w:rFonts w:cs="CG Times;Times New Roman" w:ascii="CG Times;Times New Roman" w:hAnsi="CG Times;Times New Roman"/>
          <w:b/>
          <w:sz w:val="24"/>
          <w:u w:val="single"/>
          <w:lang w:val="en-US"/>
        </w:rPr>
        <w:t>Twelfth Clause</w:t>
      </w:r>
      <w:r>
        <w:rPr>
          <w:rFonts w:cs="CG Times;Times New Roman" w:ascii="CG Times;Times New Roman" w:hAnsi="CG Times;Times New Roman"/>
          <w:sz w:val="24"/>
          <w:lang w:val="en-US"/>
        </w:rPr>
        <w:t xml:space="preserve"> -</w:t>
        <w:tab/>
        <w:t>In order to make the supply under this Agreement feasible, the Parties expressly agree and accept that they shall, prior to commencing the supply of Electric Energy as provided for hereunder, reinforce the 13,8 kV line connecting the MOEMA facilities to the Reference Point (the “Reinforcement”).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2"/>
        <w:widowControl w:val="false"/>
        <w:rPr/>
      </w:pPr>
      <w:r>
        <w:rPr/>
        <w:t>MARKETER shall be exclusively responsible for the coordination, procurement and management of all works necessary for the Reinforcement.  For such purpose, MARKETER shall elect, at its sole discretion, a specialized firm to perform the works of Reinforcement.  MOEMA hereby irrevocably and unconditionally undertakes to (i) give full access to its generation and transmission facilities to the specialized firm, its employees, agents and nominees; (ii) provide, at any time and upon request by the specialized firm and/or the MARKETER, all the technical data and information necessary for starting the performance of the Reinforcement works, including any drawings, blueprints, performance records and any other information that may, in any way, be deemed relevant to the performance of the work related to the specialist firm;  (iii) give, at any time during the performance of the Reinforcement works, all the support necessary to the employees or subcontractors of the specialized firm, authorizing the use of part of its facilities for the installation of the construction site and an equipment deposit;  (iv) give to MARKETER or any of its contractors full access to the construction site and its transmission facilities, in order to check the status of the Reinforcement works.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If any authorization that may only be requested by MOEMA is required for the performance of the Reinforcement works, MOEMA will be responsible for obtaining such authorization and maintaining it in force as long as necessary for the performance of the Reinforcement works.  MOEMA hereby undertakes to indemnify MARKETER for any delays in the performance of the Reinforcement works directly or indirectly related to the lack of any regulatory authorization, which prevent the supply of Electric Energy under this Agreement on the dates mentioned herein.</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MARKETER hereby undertakes to include a clause in the Construction Agreement with the specialized firm hired for the performance of the Reinforcement works, making an express reference to the obligations assumed by MOEMA in connection with the Reinforcement works, under the terms and conditions of this Agreement, and further undertakes to ensure that the employees or subcontractors of the specialized firm that will have access to MOEMA’s facilities and assets will strictly observe the security rules and other proceedings adopted by MOEMA.</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The costs relating to the Reinforcement works shall be borne by both MOEMA and MARKETER, it being provided that MOEMA shall pay the amount corresponding to 55% (fifty-five percent) of the total costs incurred, which amount shall not exceed R$180,000.00 (one hundred and eighty thousand Reais). The MARKETER shall be responsible for the payment of 45% (forty-five percent) of the total costs incurred in connection with the Reinforcement works, plus any amounts attributable to MOEMA in excess to the maximum amount of R$180,000.00 (one hundred and eighty thousand Reais).</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2"/>
        <w:widowControl w:val="false"/>
        <w:rPr/>
      </w:pPr>
      <w:r>
        <w:rPr/>
        <w:t>Notwithstanding MOEMA’s obligation to share the costs of the Reinforcement works, the MARKETER expressly acknowledges and agrees that the MARKETER will pay all the costs in connection with the Reinforcement works, including the amounts corresponding to MOEMA’s share of the costs. The share of the costs of the Reinforcement incumbent upon MOEMA shall be reimbursed by MOEMA to MARKETER, under the form of monthly discounts in the payment due for the firm supply of Electric Energy (the “Discounts”).</w:t>
      </w:r>
    </w:p>
    <w:p>
      <w:pPr>
        <w:pStyle w:val="BodyText2"/>
        <w:widowControl w:val="false"/>
        <w:rPr/>
      </w:pPr>
      <w:r>
        <w:rPr/>
      </w:r>
    </w:p>
    <w:p>
      <w:pPr>
        <w:pStyle w:val="BodyText2"/>
        <w:widowControl w:val="false"/>
        <w:rPr/>
      </w:pPr>
      <w:r>
        <w:rPr/>
        <w:t>The Discounts shall be effected on a monthly basis, from May through November, 2000. The monthly Discounts shall be limited to a maximum of R$11.93 (eleven Reais and ninety-three cents) per MWh. In order to determine the actual amount of the monthly Discounts, the amount of the investment made in connection with the Reinforcement works that is actually attributed to MOEMA shall be divided by the amount of the firm Electric Energy supply and the relevant Loss Factor up to the Delivery Point. It is hereby expressly agreed by the Parties that no deduction shall be made for the reimbursement of Reinforcement costs after December, 2000.</w:t>
      </w:r>
    </w:p>
    <w:p>
      <w:pPr>
        <w:pStyle w:val="BodyText2"/>
        <w:widowControl w:val="false"/>
        <w:rPr/>
      </w:pPr>
      <w:r>
        <w:rPr/>
      </w:r>
    </w:p>
    <w:p>
      <w:pPr>
        <w:pStyle w:val="BodyText2"/>
        <w:widowControl w:val="false"/>
        <w:rPr/>
      </w:pPr>
      <w:r>
        <w:rPr/>
        <w:t>In order to support the reimbursement of the amounts allocated to MOEMA regarding the Reinforcement, the MARKETER shall keep MOEMA posted about the amounts actually invested, and give to MOEMA free access to its records and data related to the incurred costs.</w:t>
      </w:r>
    </w:p>
    <w:p>
      <w:pPr>
        <w:pStyle w:val="BodyText2"/>
        <w:widowControl w:val="false"/>
        <w:rPr/>
      </w:pPr>
      <w:r>
        <w:rPr/>
      </w:r>
    </w:p>
    <w:p>
      <w:pPr>
        <w:pStyle w:val="BodyText2"/>
        <w:widowControl w:val="false"/>
        <w:jc w:val="center"/>
        <w:rPr>
          <w:b/>
        </w:rPr>
      </w:pPr>
      <w:r>
        <w:rPr>
          <w:b/>
        </w:rPr>
        <w:t>REPRESENTATIONS AND WARRANTS</w:t>
      </w:r>
    </w:p>
    <w:p>
      <w:pPr>
        <w:pStyle w:val="BodyText2"/>
        <w:widowControl w:val="false"/>
        <w:rPr>
          <w:b/>
        </w:rPr>
      </w:pPr>
      <w:r>
        <w:rPr>
          <w:b/>
        </w:rPr>
      </w:r>
    </w:p>
    <w:p>
      <w:pPr>
        <w:pStyle w:val="Normal"/>
        <w:widowControl w:val="false"/>
        <w:jc w:val="both"/>
        <w:rPr/>
      </w:pPr>
      <w:r>
        <w:rPr>
          <w:rFonts w:cs="CG Times;Times New Roman" w:ascii="CG Times;Times New Roman" w:hAnsi="CG Times;Times New Roman"/>
          <w:b/>
          <w:sz w:val="24"/>
          <w:u w:val="single"/>
          <w:lang w:val="en-US"/>
        </w:rPr>
        <w:t>Thirteenth Clause</w:t>
      </w:r>
      <w:r>
        <w:rPr>
          <w:rFonts w:cs="CG Times;Times New Roman" w:ascii="CG Times;Times New Roman" w:hAnsi="CG Times;Times New Roman"/>
          <w:b/>
          <w:sz w:val="24"/>
          <w:lang w:val="en-US"/>
        </w:rPr>
        <w:t xml:space="preserve"> -</w:t>
        <w:tab/>
      </w:r>
      <w:r>
        <w:rPr>
          <w:rFonts w:cs="CG Times;Times New Roman" w:ascii="CG Times;Times New Roman" w:hAnsi="CG Times;Times New Roman"/>
          <w:sz w:val="24"/>
          <w:lang w:val="en-US"/>
        </w:rPr>
        <w:t>Each of the Parties hereby expressly represents and warrants that (i) it has all corporate authority necessary for the performance of its obligations hereunder, (ii) the execution of this Agreement does not violate any contracts, obligations or administrative or judicial orders issued against either Party, (iii) the obligations undertaken hereunder are lawful, valid and enforceable according to their respective terms, (iv) all the information provided by either Party to the other, whether verbal, written or contained in reports, correspondence and any other written, verbal or electronic means, is complete and accurate, (v) the Electric Energy, in the amounts agreed with the MARKETER and during all the term of the Agreement, shall be free and clear of any specific destination or commitment to supply under any contract, agreement or negotiations with third Parties, (vi) to this date, there are no lawsuits, claims or governmental investigations or other similar proceedings against MOEMA, either in course or pending of decision, which affect or may affect MOEMA’s title to the Electric Energy or the delivery of the Electric Energy by MOEMA to MARKETER,  (vii) to this date, there are no law suits, claims or governmental investigations or other similar proceedings against MARKETER, either in course or pending of decision, which affect or may affect the purchase of the Electric Energy from MOEMA by the MARKETER, and (viii) each one of the Parties represents that their systems are compliant with the measures recommended by the relevant manufacturers for the preservation of the integrity of the data and operations vis-a-vis the Y2K Event.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Heading5"/>
        <w:keepNext w:val="false"/>
        <w:widowControl w:val="false"/>
        <w:ind w:hanging="0" w:start="0"/>
        <w:rPr/>
      </w:pPr>
      <w:r>
        <w:rPr/>
        <w:t>EVENTS OF DEFAULT</w:t>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
        <w:widowControl w:val="false"/>
        <w:jc w:val="both"/>
        <w:rPr/>
      </w:pPr>
      <w:r>
        <w:rPr>
          <w:u w:val="single"/>
          <w:lang w:val="en-US"/>
        </w:rPr>
        <w:t>Fourteenth Clause</w:t>
      </w:r>
      <w:r>
        <w:rPr>
          <w:b w:val="false"/>
          <w:lang w:val="en-US"/>
        </w:rPr>
        <w:t xml:space="preserve"> -</w:t>
        <w:tab/>
        <w:t xml:space="preserve">An event of default with respect to a Party shall mean any of the following: </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the failure by the defaulting party to make, when due and in the form agreed, any payment due to the other Party under the terms of this Agreement if such failure is not remedied within 20 days following the receipt of the notice given to the defaulting party;</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 xml:space="preserve">the institution, with respect to the defaulting party, of a bankruptcy, </w:t>
      </w:r>
      <w:r>
        <w:rPr>
          <w:b w:val="false"/>
          <w:i/>
          <w:lang w:val="en-US"/>
        </w:rPr>
        <w:t xml:space="preserve">concordata </w:t>
      </w:r>
      <w:r>
        <w:rPr>
          <w:b w:val="false"/>
          <w:lang w:val="en-US"/>
        </w:rPr>
        <w:t>or similar insolvency proceeding or other relief under any bankruptcy or insolvency law affecting creditors’ rights or a petition is presented or instituted for its liquidation;</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the failure to comply with any provision of this Agreement assumed by the defaulting party, and with respect to MOEMA, the delivery of less firm Electric Energy than the amount agreed hereunder, for 2 (two) or more successive or alternate months, within the same contractual year;</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the making of any representations and warranties under this Agreement that prove to be false, incomplete or inaccurate;</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default, by any of the Parties, of any of the covenants undertaken hereunder;</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the revoking or non-renewal, in case of expiration, of any of the regulatory authorizations necessary for the conduction of its businesses and accomplishment of its obligations hereunder;</w:t>
      </w:r>
    </w:p>
    <w:p>
      <w:pPr>
        <w:pStyle w:val="BodyText"/>
        <w:widowControl w:val="false"/>
        <w:jc w:val="both"/>
        <w:rPr>
          <w:b w:val="false"/>
          <w:lang w:val="en-US"/>
        </w:rPr>
      </w:pPr>
      <w:r>
        <w:rPr>
          <w:b w:val="false"/>
          <w:lang w:val="en-US"/>
        </w:rPr>
      </w:r>
    </w:p>
    <w:p>
      <w:pPr>
        <w:pStyle w:val="BodyText"/>
        <w:widowControl w:val="false"/>
        <w:numPr>
          <w:ilvl w:val="0"/>
          <w:numId w:val="4"/>
        </w:numPr>
        <w:tabs>
          <w:tab w:val="clear" w:pos="708"/>
          <w:tab w:val="left" w:pos="1428" w:leader="none"/>
        </w:tabs>
        <w:ind w:hanging="720" w:start="1428" w:end="0"/>
        <w:jc w:val="both"/>
        <w:rPr>
          <w:b w:val="false"/>
          <w:lang w:val="en-US"/>
        </w:rPr>
      </w:pPr>
      <w:r>
        <w:rPr>
          <w:b w:val="false"/>
          <w:lang w:val="en-US"/>
        </w:rPr>
        <w:t>the failure, for whatever reason, to conduct its operations and businesses according to the applicable laws and regulations in force, or to observe general management and conduct practices applicable to the businesses and operations of the sector in which it is engaged.</w:t>
      </w:r>
    </w:p>
    <w:p>
      <w:pPr>
        <w:pStyle w:val="BodyText"/>
        <w:widowControl w:val="false"/>
        <w:jc w:val="both"/>
        <w:rPr>
          <w:b w:val="false"/>
          <w:lang w:val="en-US"/>
        </w:rPr>
      </w:pPr>
      <w:r>
        <w:rPr>
          <w:b w:val="false"/>
          <w:lang w:val="en-US"/>
        </w:rPr>
      </w:r>
    </w:p>
    <w:p>
      <w:pPr>
        <w:pStyle w:val="BodyText"/>
        <w:widowControl w:val="false"/>
        <w:jc w:val="both"/>
        <w:rPr/>
      </w:pPr>
      <w:r>
        <w:rPr>
          <w:b w:val="false"/>
          <w:lang w:val="en-US"/>
        </w:rPr>
        <w:t xml:space="preserve">If an Event of Default shall have occurred and shall be continuing, or if the Event of Default cannot be cured, the non-defaulting Party may, in its sole discretion, within the 20-day period subsequent to the date it notifies the defaulting Party, declare the Agreement early terminated and withhold any payments due in respect of the terminated transactions under the terms of the Agreement and due to which the default has occurred. Upon the early termination of the Agreement, the non-defaulting Party shall calculate the amount due by the defaulting Party and serve a written notice to the defaulting Party, informing the amount due and establishing a term for its payment. The amount so calculated shall be adjusted according to the IGP-M published by the </w:t>
      </w:r>
      <w:r>
        <w:rPr>
          <w:b w:val="false"/>
          <w:i/>
          <w:lang w:val="en-US"/>
        </w:rPr>
        <w:t>Fundação Getúlio Vargas</w:t>
      </w:r>
      <w:r>
        <w:rPr>
          <w:b w:val="false"/>
          <w:lang w:val="en-US"/>
        </w:rPr>
        <w:t>, and shall accrue interest at the rate of 1% per month, from the early termination date until the date of its actual payment.  In the calculation of the amount due by virtue of the early termination, it shall be taken into consideration that the defaulting Party shall pay the non-defaulting Party a contractual fine calculated at the rate of 10% over the amount then due.</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Without prejudice and in addition to MARKETER’s right to terminate this Agreement as provided for in item (iii) above, in the event MOEMA fails to supply any amount of firm Electric Energy to MARKETER in any supply month, MOEMA shall indemnify the MARKETER for every MWh of firm Electric Energy not delivered in accordance with the Monthly Delivery Schedule contained in the Sole Annex hereto. In any such event, MOEMA shall pay to MARKETER an indemnification in the amount of the Price then in force for each MWh of firm Electric Energy not delivered.</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MARKETER hereby agrees to use its best efforts in order to minimize the costs to be borne by MOEMA in connection with the acquisition of Electric Energy by MARKETER due to MOEMA’s default, provided that the specifications established in the purchase agreements between MARKETER and third parties are duly met.</w:t>
      </w:r>
    </w:p>
    <w:p>
      <w:pPr>
        <w:pStyle w:val="BodyText"/>
        <w:widowControl w:val="false"/>
        <w:jc w:val="both"/>
        <w:rPr>
          <w:b w:val="false"/>
          <w:lang w:val="en-US"/>
        </w:rPr>
      </w:pPr>
      <w:r>
        <w:rPr>
          <w:b w:val="false"/>
          <w:lang w:val="en-US"/>
        </w:rPr>
      </w:r>
    </w:p>
    <w:p>
      <w:pPr>
        <w:pStyle w:val="BodyText"/>
        <w:widowControl w:val="false"/>
        <w:jc w:val="both"/>
        <w:rPr/>
      </w:pPr>
      <w:r>
        <w:rPr>
          <w:b w:val="false"/>
          <w:lang w:val="en-US"/>
        </w:rPr>
        <w:t>The payment of the amount to be reimbursed by MOEMA to the MARKETER as provided for herein shall be due on the 15</w:t>
      </w:r>
      <w:r>
        <w:rPr>
          <w:b w:val="false"/>
          <w:vertAlign w:val="superscript"/>
          <w:lang w:val="en-US"/>
        </w:rPr>
        <w:t>th</w:t>
      </w:r>
      <w:r>
        <w:rPr>
          <w:b w:val="false"/>
          <w:lang w:val="en-US"/>
        </w:rPr>
        <w:t xml:space="preserve"> day of the month subsequent to the default by MOEMA, and shall be fully deducted from the amount due by the MARKETER to MOEMA.</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Fifteenth Clause</w:t>
      </w:r>
      <w:r>
        <w:rPr>
          <w:b w:val="false"/>
          <w:lang w:val="en-US"/>
        </w:rPr>
        <w:t xml:space="preserve"> -</w:t>
        <w:tab/>
        <w:t>The Parties hereby expressly and unconditionally acknowledge and confirm that upon the occurrence of any event of default under this Agreement, the defaulting party shall indemnify the non-defaulting party for any damages resulting from such event of default.  The obligation to indemnify shall be limited to the damages actually experienced and duly proven by the party claiming indemnification, it being expressly agreed that the payment of such indemnification shall exclude any further indemnification whether of the same kind or not, which payment could be claimed by a Party to the other, specially with respect to loss of profits or reduction of projected revenues, and the Parties hereby waive any and all remedies they could have against the other by virtue of law. The Parties expressly acknowledge that the limitation of remedies and losses and damages is not related to the cause or causes from which they result, even if resulting from individual or joint negligent acts or omissions or misconduct. It is hereby also expressly understood and agreed that the representations and covenants mentioned herein, as well as the waiver of rights by the Parties as agreed hereunder, shall be effective upon the execution of this Agreement by the Parties.</w:t>
      </w:r>
    </w:p>
    <w:p>
      <w:pPr>
        <w:pStyle w:val="BodyText"/>
        <w:widowControl w:val="false"/>
        <w:jc w:val="both"/>
        <w:rPr>
          <w:b w:val="false"/>
          <w:lang w:val="en-US"/>
        </w:rPr>
      </w:pPr>
      <w:r>
        <w:rPr>
          <w:b w:val="false"/>
          <w:lang w:val="en-US"/>
        </w:rPr>
      </w:r>
    </w:p>
    <w:p>
      <w:pPr>
        <w:pStyle w:val="BodyText"/>
        <w:widowControl w:val="false"/>
        <w:rPr>
          <w:lang w:val="en-US"/>
        </w:rPr>
      </w:pPr>
      <w:r>
        <w:rPr>
          <w:lang w:val="en-US"/>
        </w:rPr>
        <w:t>FORCE MAJEURE</w:t>
      </w:r>
    </w:p>
    <w:p>
      <w:pPr>
        <w:pStyle w:val="BodyText"/>
        <w:widowControl w:val="false"/>
        <w:jc w:val="both"/>
        <w:rPr>
          <w:b w:val="false"/>
          <w:lang w:val="en-US"/>
        </w:rPr>
      </w:pPr>
      <w:r>
        <w:rPr>
          <w:b w:val="false"/>
          <w:lang w:val="en-US"/>
        </w:rPr>
      </w:r>
    </w:p>
    <w:p>
      <w:pPr>
        <w:pStyle w:val="BodyText"/>
        <w:widowControl w:val="false"/>
        <w:jc w:val="both"/>
        <w:rPr/>
      </w:pPr>
      <w:r>
        <w:rPr>
          <w:u w:val="single"/>
        </w:rPr>
        <w:t>Sixteenth</w:t>
      </w:r>
      <w:r>
        <w:rPr>
          <w:u w:val="single"/>
          <w:lang w:val="en-US"/>
        </w:rPr>
        <w:t xml:space="preserve"> Clause</w:t>
      </w:r>
      <w:r>
        <w:rPr>
          <w:b w:val="false"/>
          <w:lang w:val="en-US"/>
        </w:rPr>
        <w:t xml:space="preserve"> -</w:t>
        <w:tab/>
        <w:t>If either Party is rendered unable by a Force Majeure to carry out any of its obligations under this Agreement, such Party shall immediately serve a written notice to the other Party, and such notice shall contain full details of the event and of its compliance with the sole paragraph of article 1,058 of the Brazilian Civil Code, providing the best estimate duration of the impediment alleged.  In that case, and during the pendency of such Force Majeure but for no longer period, the obligations of the Party affected by the event (other than the obligation to make payments then due or becoming due with respect to performance prior to the event) shall be suspended to the extent required. In addition, during the estimated duration of the effects of the event of Force Majeure, as notified by the claiming Party to the other, the claiming Party shall not be required to resume its obligations to the other only with respect to the obligations which the claiming Party has claimed is subject to Force Majeure. Notwithstanding the foregoing, as soon as the Force Majeure or its effects cease prior to the expiration of its estimated duration, the claiming Party shall immediately serve a written notice to the non-claiming Party, who shall have the option to require the claiming Party to resume its obligations under this Agreement as soon as practicable.  The claiming Party shall take, and evidence that it has taken, all the measures available to it to remove the effects of the Force Majeure impairing the performance of its obligations.  If all or part of the Force Majeure continues to exist beyond the estimated duration, then the non-claiming Party may take any action it deems commercially reasonable under the circumstances.  Without limiting the generality of the provisions set in the sole paragraph of article 1,058 of the Brazilian Civil Code, and for exemplification purposes only, a Force Majeure shall be deemed occurred whenever an event that could not be foreseen by the Parties by the time of the execution of this Agreement occurs, and such event is out of control of the claiming Party.  In addition, the Force Majeure shall be characterized whenever the duly proven diligent action taken by the claiming Party is not sufficient for removing the Force Majeure or favors the adoption of an alternate solution commercially reasonable.  In no circumstances whatsoever a Force Majeure shall be deemed to have taken place upon the occurrence of (i) loss of market share by MARKETER or the impossibility of MARKETER to use or resell, in an economic manner, the energy surplus purchased hereunder, or (ii) the possibility of MOEMA selling the energy surplus in the market at prices more favorable than those set in this Agreement, or (iii) the necessity make foreseen or extraordinary stops, from time to time, the operation of the generation plant, except those deriving from Force Majeure, as well as the maintenance of the transmission system, restrict interest of the Plant.</w:t>
      </w:r>
    </w:p>
    <w:p>
      <w:pPr>
        <w:pStyle w:val="BodyText"/>
        <w:widowControl w:val="false"/>
        <w:jc w:val="both"/>
        <w:rPr>
          <w:b w:val="false"/>
          <w:lang w:val="en-US"/>
        </w:rPr>
      </w:pPr>
      <w:r>
        <w:rPr>
          <w:b w:val="false"/>
          <w:lang w:val="en-US"/>
        </w:rPr>
      </w:r>
    </w:p>
    <w:p>
      <w:pPr>
        <w:pStyle w:val="BodyText"/>
        <w:widowControl w:val="false"/>
        <w:rPr>
          <w:lang w:val="en-US"/>
        </w:rPr>
      </w:pPr>
      <w:r>
        <w:rPr>
          <w:lang w:val="en-US"/>
        </w:rPr>
        <w:t>CONFIDENTIALITY</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Seventeenth Clause</w:t>
      </w:r>
      <w:r>
        <w:rPr>
          <w:b w:val="false"/>
          <w:lang w:val="en-US"/>
        </w:rPr>
        <w:t xml:space="preserve"> -</w:t>
        <w:tab/>
        <w:t>The Parties hereby acknowledge that the transaction agreed hereunder pertains to the Parties’ restrict interest and is confidential, and shall not be divulged to any third party (other than the Parties' controlling or controlled companies, companies under common control, and their officers, managers, consultants and employees involved in the administration of the transaction) except as required under any applicable law, order or regulation. A Party required to disclose information to third parties shall notify the other Party prior to such disclosure, and shall take all necessary measures to avoid it or limit its scope, even if the disclosure is authorized under the terms set forth herein.   The extent of the provisions of this Clause shall not imply a limitation of any right that the Parties may have to seek to obtain a court order to avoid or limit the disclosure of confidential information relating to this Agreement. It is also expressly agreed that the terms and conditions established in this Clause shall not limit the Parties’ right to divulge the existence of this Agreement and the amount of Electric Energy involved in this transaction.</w:t>
      </w:r>
    </w:p>
    <w:p>
      <w:pPr>
        <w:pStyle w:val="BodyText"/>
        <w:widowControl w:val="false"/>
        <w:jc w:val="both"/>
        <w:rPr>
          <w:b w:val="false"/>
          <w:lang w:val="en-US"/>
        </w:rPr>
      </w:pPr>
      <w:r>
        <w:rPr>
          <w:b w:val="false"/>
          <w:lang w:val="en-US"/>
        </w:rPr>
      </w:r>
    </w:p>
    <w:p>
      <w:pPr>
        <w:pStyle w:val="BodyText"/>
        <w:widowControl w:val="false"/>
        <w:rPr>
          <w:lang w:val="en-US"/>
        </w:rPr>
      </w:pPr>
      <w:r>
        <w:rPr>
          <w:lang w:val="en-US"/>
        </w:rPr>
        <w:t>COMMUNICATIONS BETWEEN THE PARTIES</w:t>
      </w:r>
    </w:p>
    <w:p>
      <w:pPr>
        <w:pStyle w:val="BodyText"/>
        <w:widowControl w:val="false"/>
        <w:jc w:val="both"/>
        <w:rPr>
          <w:b w:val="false"/>
          <w:lang w:val="en-US"/>
        </w:rPr>
      </w:pPr>
      <w:r>
        <w:rPr>
          <w:b w:val="false"/>
          <w:lang w:val="en-US"/>
        </w:rPr>
      </w:r>
    </w:p>
    <w:p>
      <w:pPr>
        <w:pStyle w:val="Normal"/>
        <w:widowControl w:val="false"/>
        <w:jc w:val="both"/>
        <w:rPr/>
      </w:pPr>
      <w:r>
        <w:rPr>
          <w:rFonts w:cs="CG Times;Times New Roman" w:ascii="CG Times;Times New Roman" w:hAnsi="CG Times;Times New Roman"/>
          <w:b/>
          <w:sz w:val="24"/>
          <w:u w:val="single"/>
          <w:lang w:val="en-US"/>
        </w:rPr>
        <w:t>Eighteenth Clause</w:t>
      </w:r>
      <w:r>
        <w:rPr>
          <w:rFonts w:cs="CG Times;Times New Roman" w:ascii="CG Times;Times New Roman" w:hAnsi="CG Times;Times New Roman"/>
          <w:sz w:val="24"/>
          <w:lang w:val="en-US"/>
        </w:rPr>
        <w:t xml:space="preserve"> -</w:t>
      </w:r>
      <w:r>
        <w:rPr>
          <w:b/>
          <w:lang w:val="en-US"/>
        </w:rPr>
        <w:tab/>
      </w:r>
      <w:r>
        <w:rPr>
          <w:rFonts w:cs="CG Times;Times New Roman" w:ascii="CG Times;Times New Roman" w:hAnsi="CG Times;Times New Roman"/>
          <w:sz w:val="24"/>
          <w:lang w:val="en-US"/>
        </w:rPr>
        <w:tab/>
        <w:t>All notices and communications either required or permitted under this Agreement or under the terms of any related agreement shall be made in written, by fax or any other electronic means, as follows:</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numPr>
          <w:ilvl w:val="0"/>
          <w:numId w:val="7"/>
        </w:numPr>
        <w:tabs>
          <w:tab w:val="clear" w:pos="708"/>
          <w:tab w:val="left" w:pos="2829" w:leader="none"/>
        </w:tabs>
        <w:ind w:hanging="360" w:start="248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If to MARKETER:</w:t>
      </w:r>
    </w:p>
    <w:p>
      <w:pPr>
        <w:pStyle w:val="Normal"/>
        <w:widowControl w:val="false"/>
        <w:ind w:start="496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To: Marcelo Parodi</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Phone: (55-11) 5503-1229</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Fac-simile: (55-11) 5503-1349</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With copy:</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To: Andrea Bertone</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Phone: (55-11) 5503-1272</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Fac-simile: (55-11) 5507-3626</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(b)</w:t>
        <w:tab/>
        <w:t>If to MOEMA:</w:t>
      </w:r>
    </w:p>
    <w:p>
      <w:pPr>
        <w:pStyle w:val="Normal"/>
        <w:widowControl w:val="false"/>
        <w:ind w:start="496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To: Ricardo Brito Santos Pereira</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Phone: (55-16) 820-2010</w:t>
      </w:r>
    </w:p>
    <w:p>
      <w:pPr>
        <w:pStyle w:val="Normal"/>
        <w:widowControl w:val="false"/>
        <w:ind w:start="2832"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Fac-simile: (55-16) 820-2001</w:t>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With copy:</w:t>
      </w:r>
    </w:p>
    <w:p>
      <w:pPr>
        <w:pStyle w:val="Normal"/>
        <w:widowControl w:val="false"/>
        <w:ind w:firstLine="708" w:start="1416"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To: Ronaldo Diniz Junqueira</w:t>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Phone: (55-17) 296-1261</w:t>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Fac-simile: (55-17) 296-1283</w:t>
      </w:r>
    </w:p>
    <w:p>
      <w:pPr>
        <w:pStyle w:val="Normal"/>
        <w:widowControl w:val="false"/>
        <w:ind w:firstLine="708" w:start="2124"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and shall be deemed received 24 (twenty-four) hours after the relevant transmission.</w:t>
      </w:r>
    </w:p>
    <w:p>
      <w:pPr>
        <w:pStyle w:val="BodyText"/>
        <w:widowControl w:val="false"/>
        <w:jc w:val="both"/>
        <w:rPr>
          <w:rFonts w:ascii="CG Times;Times New Roman" w:hAnsi="CG Times;Times New Roman" w:cs="CG Times;Times New Roman"/>
          <w:b w:val="false"/>
          <w:sz w:val="24"/>
          <w:lang w:val="en-US"/>
        </w:rPr>
      </w:pPr>
      <w:r>
        <w:rPr>
          <w:rFonts w:cs="CG Times;Times New Roman"/>
          <w:b w:val="false"/>
          <w:sz w:val="24"/>
          <w:lang w:val="en-US"/>
        </w:rPr>
      </w:r>
    </w:p>
    <w:p>
      <w:pPr>
        <w:pStyle w:val="BodyText"/>
        <w:widowControl w:val="false"/>
        <w:rPr>
          <w:lang w:val="en-US"/>
        </w:rPr>
      </w:pPr>
      <w:r>
        <w:rPr>
          <w:lang w:val="en-US"/>
        </w:rPr>
        <w:t>MISCELLANEOUS</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Nineteenth Clause</w:t>
      </w:r>
      <w:r>
        <w:rPr>
          <w:b w:val="false"/>
          <w:lang w:val="en-US"/>
        </w:rPr>
        <w:t xml:space="preserve"> - </w:t>
        <w:tab/>
        <w:t>Notwithstanding any other obligations assumed hereunder, each of the Parties hereby expressly undertake:</w:t>
      </w:r>
    </w:p>
    <w:p>
      <w:pPr>
        <w:pStyle w:val="BodyText"/>
        <w:widowControl w:val="false"/>
        <w:jc w:val="both"/>
        <w:rPr>
          <w:b w:val="false"/>
          <w:lang w:val="en-US"/>
        </w:rPr>
      </w:pPr>
      <w:r>
        <w:rPr>
          <w:b w:val="false"/>
          <w:lang w:val="en-US"/>
        </w:rPr>
      </w:r>
    </w:p>
    <w:p>
      <w:pPr>
        <w:pStyle w:val="BodyText"/>
        <w:widowControl w:val="false"/>
        <w:numPr>
          <w:ilvl w:val="0"/>
          <w:numId w:val="2"/>
        </w:numPr>
        <w:jc w:val="both"/>
        <w:rPr>
          <w:b w:val="false"/>
          <w:lang w:val="en-US"/>
        </w:rPr>
      </w:pPr>
      <w:r>
        <w:rPr>
          <w:b w:val="false"/>
          <w:lang w:val="en-US"/>
        </w:rPr>
        <w:t>to strictly observe the applicable laws and regulations in the performance of all of its obligations hereunder, and to keep the other Party duly informed about any events that have occurred or that might occur, which may qualify as a noncompliance with the applicable laws and regulations;</w:t>
      </w:r>
    </w:p>
    <w:p>
      <w:pPr>
        <w:pStyle w:val="BodyText"/>
        <w:widowControl w:val="false"/>
        <w:jc w:val="both"/>
        <w:rPr>
          <w:b w:val="false"/>
          <w:lang w:val="en-US"/>
        </w:rPr>
      </w:pPr>
      <w:r>
        <w:rPr>
          <w:b w:val="false"/>
          <w:lang w:val="en-US"/>
        </w:rPr>
      </w:r>
    </w:p>
    <w:p>
      <w:pPr>
        <w:pStyle w:val="BodyText"/>
        <w:widowControl w:val="false"/>
        <w:numPr>
          <w:ilvl w:val="0"/>
          <w:numId w:val="2"/>
        </w:numPr>
        <w:jc w:val="both"/>
        <w:rPr>
          <w:b w:val="false"/>
          <w:lang w:val="en-US"/>
        </w:rPr>
      </w:pPr>
      <w:r>
        <w:rPr>
          <w:b w:val="false"/>
          <w:lang w:val="en-US"/>
        </w:rPr>
        <w:t>to keep in full force and effect all governmental licenses, permits and authorizations necessary for the performance of its obligations hereunder, during all the term of this Agreement, and to renew the same upon their revocation or expiration;</w:t>
      </w:r>
    </w:p>
    <w:p>
      <w:pPr>
        <w:pStyle w:val="BodyText"/>
        <w:widowControl w:val="false"/>
        <w:jc w:val="both"/>
        <w:rPr>
          <w:b w:val="false"/>
          <w:lang w:val="en-US"/>
        </w:rPr>
      </w:pPr>
      <w:r>
        <w:rPr>
          <w:b w:val="false"/>
          <w:lang w:val="en-US"/>
        </w:rPr>
      </w:r>
    </w:p>
    <w:p>
      <w:pPr>
        <w:pStyle w:val="BodyText"/>
        <w:widowControl w:val="false"/>
        <w:numPr>
          <w:ilvl w:val="0"/>
          <w:numId w:val="2"/>
        </w:numPr>
        <w:jc w:val="both"/>
        <w:rPr>
          <w:b w:val="false"/>
          <w:lang w:val="en-US"/>
        </w:rPr>
      </w:pPr>
      <w:r>
        <w:rPr>
          <w:b w:val="false"/>
          <w:lang w:val="en-US"/>
        </w:rPr>
        <w:t>not to enter into any power purchase agreements or amend those currently existing, with the sole purpose of assuming obligations that might impede the fulfillment of this Agreement.</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MOEMA also undertakes:</w:t>
      </w:r>
    </w:p>
    <w:p>
      <w:pPr>
        <w:pStyle w:val="BodyText"/>
        <w:widowControl w:val="false"/>
        <w:jc w:val="both"/>
        <w:rPr>
          <w:b w:val="false"/>
          <w:lang w:val="en-US"/>
        </w:rPr>
      </w:pPr>
      <w:r>
        <w:rPr>
          <w:b w:val="false"/>
          <w:lang w:val="en-US"/>
        </w:rPr>
      </w:r>
    </w:p>
    <w:p>
      <w:pPr>
        <w:pStyle w:val="BodyText"/>
        <w:widowControl w:val="false"/>
        <w:numPr>
          <w:ilvl w:val="0"/>
          <w:numId w:val="5"/>
        </w:numPr>
        <w:jc w:val="both"/>
        <w:rPr>
          <w:b w:val="false"/>
          <w:lang w:val="en-US"/>
        </w:rPr>
      </w:pPr>
      <w:r>
        <w:rPr>
          <w:b w:val="false"/>
          <w:lang w:val="en-US"/>
        </w:rPr>
        <w:t>to adopt, in its operations, the grid procedures established by the Distributor and/or set forth in the Agreement of Connection to the Grid, as well as the procedures established, at any time, by Agência Nacional de Energia Elétrica – ANEEL and/or any other agents of the Brazilian electric system, specially ONS;</w:t>
      </w:r>
    </w:p>
    <w:p>
      <w:pPr>
        <w:pStyle w:val="BodyText"/>
        <w:widowControl w:val="false"/>
        <w:jc w:val="both"/>
        <w:rPr>
          <w:b w:val="false"/>
          <w:lang w:val="en-US"/>
        </w:rPr>
      </w:pPr>
      <w:r>
        <w:rPr>
          <w:b w:val="false"/>
          <w:lang w:val="en-US"/>
        </w:rPr>
      </w:r>
    </w:p>
    <w:p>
      <w:pPr>
        <w:pStyle w:val="BodyText"/>
        <w:widowControl w:val="false"/>
        <w:numPr>
          <w:ilvl w:val="0"/>
          <w:numId w:val="5"/>
        </w:numPr>
        <w:jc w:val="both"/>
        <w:rPr>
          <w:b w:val="false"/>
          <w:lang w:val="en-US"/>
        </w:rPr>
      </w:pPr>
      <w:r>
        <w:rPr>
          <w:b w:val="false"/>
          <w:lang w:val="en-US"/>
        </w:rPr>
        <w:t>to notify MARKETER about the occurrence of any events at its power plant or the power plant’s dedicated transmission system that might give cause to an unscheduled stoppage of the power plant or the unavailability of the dedicated transmission system;</w:t>
      </w:r>
    </w:p>
    <w:p>
      <w:pPr>
        <w:pStyle w:val="BodyText"/>
        <w:widowControl w:val="false"/>
        <w:jc w:val="both"/>
        <w:rPr>
          <w:b w:val="false"/>
          <w:lang w:val="en-US"/>
        </w:rPr>
      </w:pPr>
      <w:r>
        <w:rPr>
          <w:b w:val="false"/>
          <w:lang w:val="en-US"/>
        </w:rPr>
      </w:r>
    </w:p>
    <w:p>
      <w:pPr>
        <w:pStyle w:val="BodyText"/>
        <w:widowControl w:val="false"/>
        <w:numPr>
          <w:ilvl w:val="0"/>
          <w:numId w:val="5"/>
        </w:numPr>
        <w:jc w:val="both"/>
        <w:rPr>
          <w:b w:val="false"/>
          <w:lang w:val="en-US"/>
        </w:rPr>
      </w:pPr>
      <w:r>
        <w:rPr>
          <w:b w:val="false"/>
          <w:lang w:val="en-US"/>
        </w:rPr>
        <w:t>to act in coordination with the Distributor and the ONS, whenever necessary or demanded, in order to assure the dispatch of its generation facility according to the quality and reliability standards established by the ONS and applicable to MOEMA;  and</w:t>
      </w:r>
    </w:p>
    <w:p>
      <w:pPr>
        <w:pStyle w:val="BodyText"/>
        <w:widowControl w:val="false"/>
        <w:jc w:val="both"/>
        <w:rPr>
          <w:b w:val="false"/>
          <w:lang w:val="en-US"/>
        </w:rPr>
      </w:pPr>
      <w:r>
        <w:rPr>
          <w:b w:val="false"/>
          <w:lang w:val="en-US"/>
        </w:rPr>
      </w:r>
    </w:p>
    <w:p>
      <w:pPr>
        <w:pStyle w:val="BodyText"/>
        <w:widowControl w:val="false"/>
        <w:numPr>
          <w:ilvl w:val="0"/>
          <w:numId w:val="5"/>
        </w:numPr>
        <w:jc w:val="both"/>
        <w:rPr>
          <w:b w:val="false"/>
          <w:lang w:val="en-US"/>
        </w:rPr>
      </w:pPr>
      <w:r>
        <w:rPr>
          <w:b w:val="false"/>
          <w:lang w:val="en-US"/>
        </w:rPr>
        <w:t>to strictly observe all the general or specific orders, recommendations and instructions issued by the Distributor, ANEEL or the ONS.</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Twentieth Clause</w:t>
      </w:r>
      <w:r>
        <w:rPr>
          <w:lang w:val="en-US"/>
        </w:rPr>
        <w:t xml:space="preserve"> -</w:t>
        <w:tab/>
      </w:r>
      <w:r>
        <w:rPr>
          <w:b w:val="false"/>
          <w:lang w:val="en-US"/>
        </w:rPr>
        <w:t>MOEMA hereby grants to MARKETER an irrevocable right of first refusal, effective during all the term hereof, for the acquisition of any amounts of firm or not firm electric energy it may generate in addition to the Electric Energy under this Agreement, under the same conditions as offered to any third party.  To that end, MOEMA shall notify MARKETER about the existence of amounts of electric energy available for supply, and such notice shall state the following information and data:</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forecasted supply period, indicating the initial date of supply and the end date;</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 xml:space="preserve">forecasted demand to be contracted, featuring peak and off peak demands; </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availability of power and load factor;</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voltage and frequency;</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delivery point;</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any third parties interested in the acquisition of the electric energy and terms and conditions offered, with copies of the relevant offers; and</w:t>
      </w:r>
    </w:p>
    <w:p>
      <w:pPr>
        <w:pStyle w:val="BodyText"/>
        <w:widowControl w:val="false"/>
        <w:jc w:val="both"/>
        <w:rPr>
          <w:b w:val="false"/>
          <w:lang w:val="en-US"/>
        </w:rPr>
      </w:pPr>
      <w:r>
        <w:rPr>
          <w:b w:val="false"/>
          <w:lang w:val="en-US"/>
        </w:rPr>
      </w:r>
    </w:p>
    <w:p>
      <w:pPr>
        <w:pStyle w:val="BodyText"/>
        <w:widowControl w:val="false"/>
        <w:numPr>
          <w:ilvl w:val="0"/>
          <w:numId w:val="6"/>
        </w:numPr>
        <w:jc w:val="both"/>
        <w:rPr>
          <w:b w:val="false"/>
          <w:lang w:val="en-US"/>
        </w:rPr>
      </w:pPr>
      <w:r>
        <w:rPr>
          <w:b w:val="false"/>
          <w:lang w:val="en-US"/>
        </w:rPr>
        <w:t>the time limit for exercising the right of first refusal, which shall not, in any event, be shorter than 1 month from the receipt of the relevant notice,.</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In case MARKETER does not exercise its right of first refusal within the time period set forth in the relevant notice, MOEMA shall be free to sell the electric energy surplus to third parties, it being agreed that in the event MOEMA intends to negotiate equal amounts of electric energy under any other subsequent transaction after the expiration of the supply period of the electric energy surplus to third parties, the consultation proceedings related to the MARKETER’s right of first refusal shall be restarted, subject to the term of this Agreement.</w:t>
      </w:r>
    </w:p>
    <w:p>
      <w:pPr>
        <w:pStyle w:val="BodyText"/>
        <w:widowControl w:val="false"/>
        <w:jc w:val="both"/>
        <w:rPr>
          <w:b w:val="false"/>
          <w:lang w:val="en-US"/>
        </w:rPr>
      </w:pPr>
      <w:r>
        <w:rPr>
          <w:b w:val="false"/>
          <w:lang w:val="en-US"/>
        </w:rPr>
      </w:r>
    </w:p>
    <w:p>
      <w:pPr>
        <w:pStyle w:val="BodyText"/>
        <w:widowControl w:val="false"/>
        <w:rPr>
          <w:lang w:val="en-US"/>
        </w:rPr>
      </w:pPr>
      <w:r>
        <w:rPr>
          <w:lang w:val="en-US"/>
        </w:rPr>
        <w:t>ASSIGNMENT</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 xml:space="preserve">Twenty First Clause </w:t>
      </w:r>
      <w:r>
        <w:rPr>
          <w:b w:val="false"/>
          <w:lang w:val="en-US"/>
        </w:rPr>
        <w:t xml:space="preserve">- </w:t>
        <w:tab/>
        <w:t>Exception made to the assignment provided for in this Clause, a Party shall not be authorized to assign or otherwise transfer all or any of its rights or obligations hereunder without the prior written consent of the other Party, which consent may not be unreasonably withheld.  MOEMA hereby agrees to execute a deed of consent to assignment for the benefit of MARKETER’s assign(s), in the event MARKETER effects an assignment to any Brazilian, foreign or international financial entities, provided, however, that such deed of consent shall not affect MOEMA’s rights and obligations hereunder.</w:t>
      </w:r>
    </w:p>
    <w:p>
      <w:pPr>
        <w:pStyle w:val="BodyText"/>
        <w:widowControl w:val="false"/>
        <w:jc w:val="both"/>
        <w:rPr>
          <w:b w:val="false"/>
          <w:lang w:val="en-US"/>
        </w:rPr>
      </w:pPr>
      <w:r>
        <w:rPr>
          <w:b w:val="false"/>
          <w:lang w:val="en-US"/>
        </w:rPr>
      </w:r>
    </w:p>
    <w:p>
      <w:pPr>
        <w:pStyle w:val="BodyText"/>
        <w:widowControl w:val="false"/>
        <w:rPr>
          <w:lang w:val="en-US"/>
        </w:rPr>
      </w:pPr>
      <w:r>
        <w:rPr>
          <w:lang w:val="en-US"/>
        </w:rPr>
        <w:t xml:space="preserve">MISCELLANEOUS </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Twenty Second Clause</w:t>
      </w:r>
      <w:r>
        <w:rPr>
          <w:lang w:val="en-US"/>
        </w:rPr>
        <w:t xml:space="preserve"> - </w:t>
        <w:tab/>
      </w:r>
      <w:r>
        <w:rPr>
          <w:b w:val="false"/>
          <w:lang w:val="en-US"/>
        </w:rPr>
        <w:t>Any provision set forth herein declared or rendered unlawful, null or unenforceable will not otherwise affect the remaining lawful provisions; and provided, further, that if any such event occurs, the Parties shall use their best efforts to reform this Agreement in order to give effect to the original intention of the Parties.</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 xml:space="preserve">Twenty Third Clause </w:t>
      </w:r>
      <w:r>
        <w:rPr>
          <w:b w:val="false"/>
          <w:lang w:val="en-US"/>
        </w:rPr>
        <w:t xml:space="preserve">- </w:t>
        <w:tab/>
        <w:t>This Agreement shall enter in force, and remain in full force and effect for 10 (ten) years as of the date on which its conditions precedent are accomplished, and it may be renewed by the Parties by means of a written amendment. The Parties shall execute a document, confirming the date of fulfillment of the conditions precedent of this Agreement. Notwithstanding the foregoing, this Agreement shall not be effective until all authorizations required for the delivery of Electric Energy by MOEMA to MARKETER under this Agreement have been obtained, and all agreements required by the applicable law for performing the transactions contemplated hereby, to wit: the Agreement of Connection to the Grid, the Agreement of Use of the Transmission System</w:t>
      </w:r>
      <w:r>
        <w:rPr>
          <w:lang w:val="en-US"/>
        </w:rPr>
        <w:t xml:space="preserve"> </w:t>
      </w:r>
      <w:r>
        <w:rPr>
          <w:b w:val="false"/>
          <w:lang w:val="en-US"/>
        </w:rPr>
        <w:t>and the Agreement of Use of the Distribution System have been executed. This Agreement cannot be terminated by either Party prior to the expiration of its term without a fair reason, unless otherwise agreed by both Parties, by means of a written document. If the Parties so agree, they shall establish the terms and conditions applicable to such early termination, including, without limitation, any indemnification or penalties.</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Twenty-Fourth Clause</w:t>
      </w:r>
      <w:r>
        <w:rPr>
          <w:lang w:val="en-US"/>
        </w:rPr>
        <w:t xml:space="preserve"> - </w:t>
        <w:tab/>
      </w:r>
      <w:r>
        <w:rPr>
          <w:b w:val="false"/>
          <w:lang w:val="en-US"/>
        </w:rPr>
        <w:t>This Agreement is binding upon the Parties, their successors and permitted assigns. In the event the control of either Party is transferred during the term hereof, this event shall not release the Party and its new controllers from the performance of all obligations assumed by the Parties hereunder, which obligations shall remain unmodified and in full force and effect.</w:t>
      </w:r>
    </w:p>
    <w:p>
      <w:pPr>
        <w:pStyle w:val="BodyText"/>
        <w:widowControl w:val="false"/>
        <w:jc w:val="both"/>
        <w:rPr>
          <w:b w:val="false"/>
          <w:lang w:val="en-US"/>
        </w:rPr>
      </w:pPr>
      <w:r>
        <w:rPr>
          <w:b w:val="false"/>
          <w:lang w:val="en-US"/>
        </w:rPr>
      </w:r>
    </w:p>
    <w:p>
      <w:pPr>
        <w:pStyle w:val="BodyText"/>
        <w:widowControl w:val="false"/>
        <w:jc w:val="both"/>
        <w:rPr/>
      </w:pPr>
      <w:r>
        <w:rPr>
          <w:u w:val="single"/>
          <w:lang w:val="en-US"/>
        </w:rPr>
        <w:t>Twenty-Fifth Clause</w:t>
      </w:r>
      <w:r>
        <w:rPr>
          <w:lang w:val="en-US"/>
        </w:rPr>
        <w:t xml:space="preserve"> - </w:t>
        <w:tab/>
      </w:r>
      <w:r>
        <w:rPr>
          <w:b w:val="false"/>
          <w:lang w:val="en-US"/>
        </w:rPr>
        <w:t>Any and all amendments to this Agreement shall only be deemed valid if executed in written and signed by both Parties.</w:t>
      </w:r>
    </w:p>
    <w:p>
      <w:pPr>
        <w:pStyle w:val="BodyText"/>
        <w:widowControl w:val="false"/>
        <w:jc w:val="both"/>
        <w:rPr>
          <w:b w:val="false"/>
          <w:lang w:val="en-US"/>
        </w:rPr>
      </w:pPr>
      <w:r>
        <w:rPr>
          <w:b w:val="false"/>
          <w:lang w:val="en-US"/>
        </w:rPr>
      </w:r>
    </w:p>
    <w:p>
      <w:pPr>
        <w:pStyle w:val="Normal"/>
        <w:widowControl w:val="false"/>
        <w:jc w:val="both"/>
        <w:rPr/>
      </w:pPr>
      <w:r>
        <w:rPr>
          <w:rFonts w:cs="CG Times;Times New Roman" w:ascii="CG Times;Times New Roman" w:hAnsi="CG Times;Times New Roman"/>
          <w:b/>
          <w:sz w:val="24"/>
          <w:u w:val="single"/>
          <w:lang w:val="en-US"/>
        </w:rPr>
        <w:t>Twenty-Sixth Clause</w:t>
      </w:r>
      <w:r>
        <w:rPr>
          <w:rFonts w:cs="CG Times;Times New Roman" w:ascii="CG Times;Times New Roman" w:hAnsi="CG Times;Times New Roman"/>
          <w:sz w:val="24"/>
          <w:lang w:val="en-US"/>
        </w:rPr>
        <w:t xml:space="preserve"> - </w:t>
        <w:tab/>
        <w:t>All issues deriving from the interpretation and relating to the performance of the obligations of the Parties hereunder, if not solved in an amicable way, shall be subject to arbitration, according to the rules of the International Chamber of Commerce – ICC, with head offices in Paris, France, and shall be administered by the Chamber of Mediation and Arbitration of São Paulo.  The arbitration proceedings shall take place in the capital of the State of São Paulo and shall be conducted by a panel consisting of 3 (three) arbitrators, one being appointed by MOEMA, other one by MARKETER and the third one, who shall act as the Chairman, being appointed by the arbitrators chosen by the Parties.  If the arbitrators do not reach consent as to the appointment of the third arbitrator, the Chairman of the Chamber of Mediation and Arbitration of São Paulo shall appoint the latter.  Upon request of any of the Parties, and provided that any individual involved in the arbitration proceedings, in any capacity, is not able to express himself/herself in Portuguese, the arbitrators shall authorize that the proceedings be conducted in English, in which case the arbitrators may make use of translations prepared by sworn translators. Under no circumstances shall the arbitrators be allowed to award damages or treble, exemplary or punitive damages of any kind superior to the amounts established in this Agreement.</w:t>
      </w:r>
    </w:p>
    <w:p>
      <w:pPr>
        <w:pStyle w:val="BodyText"/>
        <w:widowControl w:val="false"/>
        <w:jc w:val="both"/>
        <w:rPr>
          <w:rFonts w:ascii="CG Times;Times New Roman" w:hAnsi="CG Times;Times New Roman" w:cs="CG Times;Times New Roman"/>
          <w:b w:val="false"/>
          <w:sz w:val="24"/>
          <w:lang w:val="en-US"/>
        </w:rPr>
      </w:pPr>
      <w:r>
        <w:rPr>
          <w:rFonts w:cs="CG Times;Times New Roman"/>
          <w:b w:val="false"/>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IN WITNESS WHEREOF, the Parties hereto executed this Agreement in 2 (two) counterparts of equal tenor and form, together with the witnesses below.</w:t>
      </w:r>
    </w:p>
    <w:p>
      <w:pPr>
        <w:pStyle w:val="BodyText2"/>
        <w:widowControl w:val="false"/>
        <w:rPr>
          <w:rFonts w:ascii="CG Times;Times New Roman" w:hAnsi="CG Times;Times New Roman" w:cs="CG Times;Times New Roman"/>
          <w:sz w:val="24"/>
          <w:lang w:val="en-US"/>
        </w:rPr>
      </w:pPr>
      <w:r>
        <w:rPr>
          <w:rFonts w:cs="CG Times;Times New Roman"/>
          <w:sz w:val="24"/>
          <w:lang w:val="en-US"/>
        </w:rPr>
      </w:r>
    </w:p>
    <w:p>
      <w:pPr>
        <w:pStyle w:val="Normal"/>
        <w:widowControl w:val="false"/>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widowControl w:val="false"/>
        <w:jc w:val="center"/>
        <w:rPr>
          <w:rFonts w:ascii="CG Times;Times New Roman" w:hAnsi="CG Times;Times New Roman" w:cs="CG Times;Times New Roman"/>
          <w:sz w:val="24"/>
          <w:lang w:val="en-US"/>
        </w:rPr>
      </w:pPr>
      <w:r>
        <w:rPr>
          <w:rFonts w:cs="CG Times;Times New Roman" w:ascii="CG Times;Times New Roman" w:hAnsi="CG Times;Times New Roman"/>
          <w:sz w:val="24"/>
          <w:lang w:val="en-US"/>
        </w:rPr>
        <w:t>São Paulo, December 23, 1999.</w:t>
      </w:r>
    </w:p>
    <w:p>
      <w:pPr>
        <w:pStyle w:val="BodyText"/>
        <w:widowControl w:val="false"/>
        <w:jc w:val="both"/>
        <w:rPr>
          <w:rFonts w:ascii="CG Times;Times New Roman" w:hAnsi="CG Times;Times New Roman" w:cs="CG Times;Times New Roman"/>
          <w:b w:val="false"/>
          <w:sz w:val="24"/>
          <w:lang w:val="en-US"/>
        </w:rPr>
      </w:pPr>
      <w:r>
        <w:rPr>
          <w:rFonts w:cs="CG Times;Times New Roman"/>
          <w:b w:val="false"/>
          <w:sz w:val="24"/>
          <w:lang w:val="en-US"/>
        </w:rPr>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rPr>
          <w:lang w:val="en-US"/>
        </w:rPr>
      </w:pPr>
      <w:r>
        <w:rPr>
          <w:lang w:val="en-US"/>
        </w:rPr>
        <w:t>ENRON COMERCIALIZADORA DE ENERGIA LTDA.</w:t>
      </w:r>
    </w:p>
    <w:p>
      <w:pPr>
        <w:pStyle w:val="BodyText"/>
        <w:widowControl w:val="false"/>
        <w:jc w:val="both"/>
        <w:rPr>
          <w:b w:val="false"/>
          <w:lang w:val="en-US"/>
        </w:rPr>
      </w:pPr>
      <w:r>
        <w:rPr>
          <w:b w:val="false"/>
          <w:lang w:val="en-US"/>
        </w:rPr>
        <w:t>By:</w:t>
      </w:r>
    </w:p>
    <w:p>
      <w:pPr>
        <w:pStyle w:val="BodyText"/>
        <w:widowControl w:val="false"/>
        <w:jc w:val="both"/>
        <w:rPr>
          <w:b w:val="false"/>
          <w:lang w:val="en-US"/>
        </w:rPr>
      </w:pPr>
      <w:r>
        <w:rPr>
          <w:b w:val="false"/>
          <w:lang w:val="en-US"/>
        </w:rPr>
        <w:t>Title:</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rPr>
          <w:lang w:val="en-US"/>
        </w:rPr>
      </w:pPr>
      <w:r>
        <w:rPr>
          <w:lang w:val="en-US"/>
        </w:rPr>
        <w:t>CIA ENERGÉTICA SANTA ELISA.</w:t>
      </w:r>
    </w:p>
    <w:p>
      <w:pPr>
        <w:pStyle w:val="BodyText"/>
        <w:widowControl w:val="false"/>
        <w:jc w:val="both"/>
        <w:rPr>
          <w:b w:val="false"/>
          <w:lang w:val="en-US"/>
        </w:rPr>
      </w:pPr>
      <w:r>
        <w:rPr>
          <w:b w:val="false"/>
          <w:lang w:val="en-US"/>
        </w:rPr>
        <w:t>By:</w:t>
        <w:tab/>
        <w:tab/>
        <w:tab/>
        <w:tab/>
        <w:tab/>
        <w:tab/>
        <w:tab/>
        <w:tab/>
        <w:tab/>
        <w:t>By:</w:t>
      </w:r>
    </w:p>
    <w:p>
      <w:pPr>
        <w:pStyle w:val="BodyText"/>
        <w:widowControl w:val="false"/>
        <w:jc w:val="both"/>
        <w:rPr>
          <w:b w:val="false"/>
          <w:lang w:val="en-US"/>
        </w:rPr>
      </w:pPr>
      <w:r>
        <w:rPr>
          <w:b w:val="false"/>
          <w:lang w:val="en-US"/>
        </w:rPr>
        <w:t>Title:</w:t>
        <w:tab/>
        <w:tab/>
        <w:tab/>
        <w:tab/>
        <w:tab/>
        <w:tab/>
        <w:tab/>
        <w:tab/>
        <w:tab/>
        <w:t>Title:</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Witnesses:</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t>1. ___________________________________</w:t>
        <w:tab/>
        <w:t>2. ______________________________</w:t>
      </w:r>
    </w:p>
    <w:p>
      <w:pPr>
        <w:pStyle w:val="BodyText"/>
        <w:widowControl w:val="false"/>
        <w:jc w:val="both"/>
        <w:rPr>
          <w:b w:val="false"/>
          <w:lang w:val="en-US"/>
        </w:rPr>
      </w:pPr>
      <w:r>
        <w:rPr>
          <w:b w:val="false"/>
          <w:lang w:val="en-US"/>
        </w:rPr>
        <w:t>Name:</w:t>
        <w:tab/>
        <w:tab/>
        <w:tab/>
        <w:tab/>
        <w:tab/>
        <w:tab/>
        <w:tab/>
        <w:t xml:space="preserve">Name: </w:t>
      </w:r>
    </w:p>
    <w:p>
      <w:pPr>
        <w:pStyle w:val="BodyText"/>
        <w:widowControl w:val="false"/>
        <w:jc w:val="both"/>
        <w:rPr>
          <w:b w:val="false"/>
          <w:lang w:val="en-US"/>
        </w:rPr>
      </w:pPr>
      <w:r>
        <w:rPr>
          <w:b w:val="false"/>
          <w:lang w:val="en-US"/>
        </w:rPr>
        <w:t xml:space="preserve">CPF/MF: </w:t>
        <w:tab/>
        <w:tab/>
        <w:tab/>
        <w:tab/>
        <w:tab/>
        <w:tab/>
        <w:t>CPF/MF:</w:t>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r>
        <w:br w:type="page"/>
      </w:r>
    </w:p>
    <w:p>
      <w:pPr>
        <w:pStyle w:val="Normal"/>
        <w:widowControl w:val="false"/>
        <w:jc w:val="both"/>
        <w:rPr>
          <w:b w:val="false"/>
          <w:lang w:val="en-US"/>
        </w:rPr>
      </w:pPr>
      <w:r>
        <w:rPr>
          <w:b w:val="false"/>
          <w:lang w:val="en-US"/>
        </w:rPr>
      </w:r>
    </w:p>
    <w:p>
      <w:pPr>
        <w:pStyle w:val="Normal"/>
        <w:widowControl w:val="false"/>
        <w:jc w:val="center"/>
        <w:rPr>
          <w:lang w:val="en-US"/>
        </w:rPr>
      </w:pPr>
      <w:r>
        <w:rPr>
          <w:lang w:val="en-US"/>
        </w:rPr>
      </w:r>
    </w:p>
    <w:p>
      <w:pPr>
        <w:pStyle w:val="BodyText"/>
        <w:widowControl w:val="false"/>
        <w:rPr>
          <w:lang w:val="en-US"/>
        </w:rPr>
      </w:pPr>
      <w:r>
        <w:rPr>
          <w:lang w:val="en-US"/>
        </w:rPr>
        <w:t>SOLE ANNEX TO THE LONG TERM POWER PURCHASE AGREEMENT</w:t>
      </w:r>
    </w:p>
    <w:p>
      <w:pPr>
        <w:pStyle w:val="BodyText"/>
        <w:widowControl w:val="false"/>
        <w:rPr>
          <w:lang w:val="en-US"/>
        </w:rPr>
      </w:pPr>
      <w:r>
        <w:rPr>
          <w:lang w:val="en-US"/>
        </w:rPr>
        <w:t xml:space="preserve">BETWEEN ENRON COMERCIALIZADORA DE ENERGIA LTDA. AND </w:t>
        <w:br/>
        <w:t>USINA MOEMA AÇÚCAR E ÁLCOOL S.A.</w:t>
      </w:r>
    </w:p>
    <w:p>
      <w:pPr>
        <w:pStyle w:val="BodyText"/>
        <w:widowControl w:val="false"/>
        <w:rPr>
          <w:lang w:val="en-US"/>
        </w:rPr>
      </w:pPr>
      <w:r>
        <w:rPr>
          <w:lang w:val="en-US"/>
        </w:rPr>
      </w:r>
    </w:p>
    <w:p>
      <w:pPr>
        <w:pStyle w:val="BodyText"/>
        <w:widowControl w:val="false"/>
        <w:rPr>
          <w:lang w:val="en-US"/>
        </w:rPr>
      </w:pPr>
      <w:r>
        <w:rPr>
          <w:lang w:val="en-US"/>
        </w:rPr>
      </w:r>
    </w:p>
    <w:p>
      <w:pPr>
        <w:pStyle w:val="BodyText"/>
        <w:widowControl w:val="false"/>
        <w:rPr>
          <w:lang w:val="en-US"/>
        </w:rPr>
      </w:pPr>
      <w:r>
        <w:rPr>
          <w:lang w:val="en-US"/>
        </w:rPr>
      </w:r>
    </w:p>
    <w:p>
      <w:pPr>
        <w:pStyle w:val="BodyText"/>
        <w:widowControl w:val="false"/>
        <w:rPr>
          <w:lang w:val="en-US"/>
        </w:rPr>
      </w:pPr>
      <w:r>
        <w:rPr>
          <w:lang w:val="en-US"/>
        </w:rPr>
        <w:t>SPECIFICATIONS OF THE CONTRACTED SUPPLY</w:t>
      </w:r>
    </w:p>
    <w:p>
      <w:pPr>
        <w:pStyle w:val="BodyText"/>
        <w:widowControl w:val="false"/>
        <w:jc w:val="both"/>
        <w:rPr>
          <w:lang w:val="en-US"/>
        </w:rPr>
      </w:pPr>
      <w:r>
        <w:rPr>
          <w:lang w:val="en-US"/>
        </w:rPr>
      </w:r>
    </w:p>
    <w:p>
      <w:pPr>
        <w:pStyle w:val="BodyText"/>
        <w:widowControl w:val="false"/>
        <w:jc w:val="both"/>
        <w:rPr>
          <w:lang w:val="en-US"/>
        </w:rPr>
      </w:pPr>
      <w:r>
        <w:rPr>
          <w:lang w:val="en-US"/>
        </w:rPr>
      </w:r>
    </w:p>
    <w:p>
      <w:pPr>
        <w:pStyle w:val="BodyText"/>
        <w:widowControl w:val="false"/>
        <w:numPr>
          <w:ilvl w:val="0"/>
          <w:numId w:val="3"/>
        </w:numPr>
        <w:jc w:val="both"/>
        <w:rPr>
          <w:b w:val="false"/>
          <w:lang w:val="en-US"/>
        </w:rPr>
      </w:pPr>
      <w:r>
        <w:rPr>
          <w:b w:val="false"/>
          <w:lang w:val="en-US"/>
        </w:rPr>
        <w:t>Supply Period:  from May 1</w:t>
      </w:r>
      <w:r>
        <w:rPr>
          <w:b w:val="false"/>
          <w:vertAlign w:val="superscript"/>
          <w:lang w:val="en-US"/>
        </w:rPr>
        <w:t>st</w:t>
      </w:r>
      <w:r>
        <w:rPr>
          <w:b w:val="false"/>
          <w:lang w:val="en-US"/>
        </w:rPr>
        <w:t>, 2000 to November 30, 2009. The Electric Energy shall be delivered by MOEMA to the MARKETER 24 hours a day, during all the term of the Agreement according to the Monthly Delivery Schedule below:</w:t>
      </w:r>
    </w:p>
    <w:p>
      <w:pPr>
        <w:pStyle w:val="BodyText"/>
        <w:widowControl w:val="false"/>
        <w:jc w:val="both"/>
        <w:rPr>
          <w:b w:val="false"/>
          <w:lang w:val="en-US"/>
        </w:rPr>
      </w:pPr>
      <w:r>
        <w:rPr>
          <w:b w:val="false"/>
          <w:lang w:val="en-US"/>
        </w:rPr>
      </w:r>
    </w:p>
    <w:p>
      <w:pPr>
        <w:pStyle w:val="Normal"/>
        <w:ind w:hanging="720" w:start="1440" w:end="0"/>
        <w:jc w:val="both"/>
        <w:rPr>
          <w:rFonts w:ascii="CG Times;Times New Roman" w:hAnsi="CG Times;Times New Roman" w:cs="CG Times;Times New Roman"/>
          <w:b/>
          <w:lang w:val="en-US"/>
        </w:rPr>
      </w:pPr>
      <w:r>
        <w:rPr>
          <w:rFonts w:cs="CG Times;Times New Roman" w:ascii="CG Times;Times New Roman" w:hAnsi="CG Times;Times New Roman"/>
          <w:b/>
          <w:lang w:val="en-US"/>
        </w:rPr>
      </w:r>
    </w:p>
    <w:tbl>
      <w:tblPr>
        <w:tblW w:w="6390" w:type="dxa"/>
        <w:jc w:val="start"/>
        <w:tblInd w:w="2718" w:type="dxa"/>
        <w:tblLayout w:type="fixed"/>
        <w:tblCellMar>
          <w:top w:w="0" w:type="dxa"/>
          <w:start w:w="108" w:type="dxa"/>
          <w:bottom w:w="0" w:type="dxa"/>
          <w:end w:w="108" w:type="dxa"/>
        </w:tblCellMar>
      </w:tblPr>
      <w:tblGrid>
        <w:gridCol w:w="1890"/>
        <w:gridCol w:w="1080"/>
        <w:gridCol w:w="1080"/>
        <w:gridCol w:w="1170"/>
        <w:gridCol w:w="1170"/>
      </w:tblGrid>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Period – 2000 a 2009</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Firm</w:t>
            </w:r>
          </w:p>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Energy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Firm</w:t>
            </w:r>
          </w:p>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Energy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Interruptible</w:t>
            </w:r>
          </w:p>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Energy</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Interruptible</w:t>
            </w:r>
          </w:p>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Energy</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MW</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MWh</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MW</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MWh</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May 1st  to 31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1,265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223</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June 1 to 30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1,224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216</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July 1 to 31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1,265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223</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August 1 to 31</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1,265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223</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September 1 to 30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1,224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216</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October 1 to 31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1,265</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223</w:t>
            </w:r>
          </w:p>
        </w:tc>
      </w:tr>
      <w:tr>
        <w:trPr/>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CG Times;Times New Roman" w:hAnsi="CG Times;Times New Roman" w:cs="CG Times;Times New Roman"/>
                <w:sz w:val="18"/>
                <w:lang w:val="en-US"/>
              </w:rPr>
            </w:pPr>
            <w:r>
              <w:rPr>
                <w:rFonts w:cs="CG Times;Times New Roman" w:ascii="CG Times;Times New Roman" w:hAnsi="CG Times;Times New Roman"/>
                <w:sz w:val="18"/>
                <w:lang w:val="en-US"/>
              </w:rPr>
              <w:t xml:space="preserve">November 1 to 30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1.7</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1,224</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0.3</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Times New Roman" w:hAnsi="CG Times;Times New Roman" w:cs="CG Times;Times New Roman"/>
                <w:sz w:val="18"/>
                <w:lang w:val="en-US"/>
              </w:rPr>
            </w:pPr>
            <w:r>
              <w:rPr>
                <w:rFonts w:cs="CG Times;Times New Roman" w:ascii="CG Times;Times New Roman" w:hAnsi="CG Times;Times New Roman"/>
                <w:sz w:val="18"/>
                <w:lang w:val="en-US"/>
              </w:rPr>
              <w:t>216</w:t>
            </w:r>
          </w:p>
        </w:tc>
      </w:tr>
    </w:tbl>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BodyText"/>
        <w:widowControl w:val="false"/>
        <w:jc w:val="both"/>
        <w:rPr>
          <w:b w:val="false"/>
          <w:lang w:val="en-US"/>
        </w:rPr>
      </w:pPr>
      <w:r>
        <w:rPr>
          <w:b w:val="false"/>
          <w:lang w:val="en-US"/>
        </w:rPr>
      </w:r>
    </w:p>
    <w:p>
      <w:pPr>
        <w:pStyle w:val="Normal"/>
        <w:jc w:val="both"/>
        <w:rPr>
          <w:rFonts w:ascii="CG Times;Times New Roman" w:hAnsi="CG Times;Times New Roman" w:cs="CG Times;Times New Roman"/>
          <w:b/>
          <w:sz w:val="24"/>
          <w:lang w:val="en-US"/>
        </w:rPr>
      </w:pPr>
      <w:r>
        <w:rPr>
          <w:rFonts w:cs="CG Times;Times New Roman" w:ascii="CG Times;Times New Roman" w:hAnsi="CG Times;Times New Roman"/>
          <w:b/>
          <w:sz w:val="24"/>
          <w:lang w:val="en-US"/>
        </w:rPr>
      </w:r>
    </w:p>
    <w:p>
      <w:pPr>
        <w:pStyle w:val="Normal"/>
        <w:jc w:val="both"/>
        <w:rPr/>
      </w:pPr>
      <w:r>
        <w:rPr>
          <w:rFonts w:cs="CG Times;Times New Roman" w:ascii="CG Times;Times New Roman" w:hAnsi="CG Times;Times New Roman"/>
          <w:sz w:val="24"/>
          <w:lang w:val="en-US"/>
        </w:rPr>
        <w:tab/>
        <w:t>(b)</w:t>
        <w:tab/>
      </w:r>
      <w:r>
        <w:rPr>
          <w:rFonts w:cs="CG Times;Times New Roman" w:ascii="CG Times;Times New Roman" w:hAnsi="CG Times;Times New Roman"/>
          <w:b/>
          <w:i/>
          <w:sz w:val="24"/>
          <w:lang w:val="en-US"/>
        </w:rPr>
        <w:t>Supply Voltage</w:t>
      </w:r>
      <w:r>
        <w:rPr>
          <w:rFonts w:cs="CG Times;Times New Roman" w:ascii="CG Times;Times New Roman" w:hAnsi="CG Times;Times New Roman"/>
          <w:sz w:val="24"/>
          <w:lang w:val="en-US"/>
        </w:rPr>
        <w:t>: 13,8 kV</w:t>
      </w:r>
    </w:p>
    <w:p>
      <w:pPr>
        <w:pStyle w:val="Normal"/>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hanging="720" w:start="1440" w:end="0"/>
        <w:jc w:val="both"/>
        <w:rPr/>
      </w:pPr>
      <w:r>
        <w:rPr>
          <w:rFonts w:cs="CG Times;Times New Roman" w:ascii="CG Times;Times New Roman" w:hAnsi="CG Times;Times New Roman"/>
          <w:sz w:val="24"/>
          <w:lang w:val="en-US"/>
        </w:rPr>
        <w:t>(c)</w:t>
        <w:tab/>
      </w:r>
      <w:r>
        <w:rPr>
          <w:rFonts w:cs="CG Times;Times New Roman" w:ascii="CG Times;Times New Roman" w:hAnsi="CG Times;Times New Roman"/>
          <w:b/>
          <w:i/>
          <w:sz w:val="24"/>
          <w:lang w:val="en-US"/>
        </w:rPr>
        <w:t>Delivery Point</w:t>
      </w:r>
      <w:r>
        <w:rPr>
          <w:rFonts w:cs="CG Times;Times New Roman" w:ascii="CG Times;Times New Roman" w:hAnsi="CG Times;Times New Roman"/>
          <w:sz w:val="24"/>
          <w:lang w:val="en-US"/>
        </w:rPr>
        <w:t xml:space="preserve">: MOEMA’s Interconnection Point with the 13,8 kV system of the local distribution concessionaire </w:t>
      </w:r>
    </w:p>
    <w:p>
      <w:pPr>
        <w:pStyle w:val="Normal"/>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hanging="720" w:start="1440" w:end="0"/>
        <w:jc w:val="both"/>
        <w:rPr/>
      </w:pPr>
      <w:r>
        <w:rPr>
          <w:rFonts w:cs="CG Times;Times New Roman" w:ascii="CG Times;Times New Roman" w:hAnsi="CG Times;Times New Roman"/>
          <w:sz w:val="24"/>
          <w:lang w:val="en-US"/>
        </w:rPr>
        <w:t>(d)</w:t>
        <w:tab/>
      </w:r>
      <w:r>
        <w:rPr>
          <w:rFonts w:cs="CG Times;Times New Roman" w:ascii="CG Times;Times New Roman" w:hAnsi="CG Times;Times New Roman"/>
          <w:b/>
          <w:i/>
          <w:sz w:val="24"/>
          <w:lang w:val="en-US"/>
        </w:rPr>
        <w:t>Reference Point</w:t>
      </w:r>
      <w:r>
        <w:rPr>
          <w:rFonts w:cs="CG Times;Times New Roman" w:ascii="CG Times;Times New Roman" w:hAnsi="CG Times;Times New Roman"/>
          <w:sz w:val="24"/>
          <w:lang w:val="en-US"/>
        </w:rPr>
        <w:t>: Substation of Paulo de Faria, located at the Municipality of Paulo de Faria, in the State of São Paulo.</w:t>
      </w:r>
    </w:p>
    <w:p>
      <w:pPr>
        <w:pStyle w:val="Normal"/>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hanging="720" w:start="1440" w:end="0"/>
        <w:jc w:val="both"/>
        <w:rPr/>
      </w:pPr>
      <w:r>
        <w:rPr>
          <w:rFonts w:cs="CG Times;Times New Roman" w:ascii="CG Times;Times New Roman" w:hAnsi="CG Times;Times New Roman"/>
          <w:sz w:val="24"/>
          <w:lang w:val="en-US"/>
        </w:rPr>
        <w:t>(e)</w:t>
        <w:tab/>
      </w:r>
      <w:r>
        <w:rPr>
          <w:rFonts w:cs="CG Times;Times New Roman" w:ascii="CG Times;Times New Roman" w:hAnsi="CG Times;Times New Roman"/>
          <w:b/>
          <w:i/>
          <w:sz w:val="24"/>
          <w:lang w:val="en-US"/>
        </w:rPr>
        <w:t>Loss Factor</w:t>
      </w:r>
      <w:r>
        <w:rPr>
          <w:rFonts w:cs="CG Times;Times New Roman" w:ascii="CG Times;Times New Roman" w:hAnsi="CG Times;Times New Roman"/>
          <w:sz w:val="24"/>
          <w:lang w:val="en-US"/>
        </w:rPr>
        <w:t>: The loss factor between the Delivery Point and the Reference Point shall be 5%.</w:t>
      </w:r>
    </w:p>
    <w:p>
      <w:pPr>
        <w:pStyle w:val="Normal"/>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numPr>
          <w:ilvl w:val="0"/>
          <w:numId w:val="8"/>
        </w:numPr>
        <w:jc w:val="both"/>
        <w:rPr>
          <w:rFonts w:ascii="CG Times;Times New Roman" w:hAnsi="CG Times;Times New Roman" w:cs="CG Times;Times New Roman"/>
          <w:sz w:val="24"/>
          <w:lang w:val="en-US"/>
        </w:rPr>
      </w:pPr>
      <w:r>
        <w:rPr>
          <w:rFonts w:cs="CG Times;Times New Roman" w:ascii="CG Times;Times New Roman" w:hAnsi="CG Times;Times New Roman"/>
          <w:b/>
          <w:i/>
          <w:sz w:val="24"/>
          <w:lang w:val="en-US"/>
        </w:rPr>
        <w:t>Load Factor</w:t>
      </w:r>
      <w:r>
        <w:rPr>
          <w:rFonts w:cs="CG Times;Times New Roman" w:ascii="CG Times;Times New Roman" w:hAnsi="CG Times;Times New Roman"/>
          <w:sz w:val="24"/>
          <w:lang w:val="en-US"/>
        </w:rPr>
        <w:t>: The firm energy supplied monthly by MOEMA to the MARKETER shall have a load factor equal to 1.0, corresponding to the actual contracted supply of firm electric energy. There is no minimum pre-determined load factor applicable to the not firm electric energy.</w:t>
      </w:r>
    </w:p>
    <w:p>
      <w:pPr>
        <w:pStyle w:val="Normal"/>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hanging="690" w:start="1410" w:end="0"/>
        <w:jc w:val="both"/>
        <w:rPr/>
      </w:pPr>
      <w:r>
        <w:rPr>
          <w:rFonts w:cs="CG Times;Times New Roman" w:ascii="CG Times;Times New Roman" w:hAnsi="CG Times;Times New Roman"/>
          <w:sz w:val="24"/>
          <w:lang w:val="en-US"/>
        </w:rPr>
        <w:t>(g)</w:t>
        <w:tab/>
      </w:r>
      <w:r>
        <w:rPr>
          <w:rFonts w:cs="CG Times;Times New Roman" w:ascii="CG Times;Times New Roman" w:hAnsi="CG Times;Times New Roman"/>
          <w:b/>
          <w:i/>
          <w:sz w:val="24"/>
          <w:lang w:val="en-US"/>
        </w:rPr>
        <w:t>Price</w:t>
      </w:r>
      <w:r>
        <w:rPr>
          <w:rFonts w:cs="CG Times;Times New Roman" w:ascii="CG Times;Times New Roman" w:hAnsi="CG Times;Times New Roman"/>
          <w:sz w:val="24"/>
          <w:lang w:val="en-US"/>
        </w:rPr>
        <w:t>: The Electric Energy purchase prices contracted hereunder are the following:</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firstLine="23" w:start="1410" w:end="0"/>
        <w:jc w:val="both"/>
        <w:rPr/>
      </w:pPr>
      <w:r>
        <w:rPr>
          <w:rFonts w:cs="CG Times;Times New Roman" w:ascii="CG Times;Times New Roman" w:hAnsi="CG Times;Times New Roman"/>
          <w:sz w:val="24"/>
          <w:lang w:val="en-US"/>
        </w:rPr>
        <w:t>(a)</w:t>
        <w:tab/>
      </w:r>
      <w:r>
        <w:rPr>
          <w:rFonts w:cs="CG Times;Times New Roman" w:ascii="CG Times;Times New Roman" w:hAnsi="CG Times;Times New Roman"/>
          <w:b/>
          <w:i/>
          <w:sz w:val="24"/>
          <w:lang w:val="en-US"/>
        </w:rPr>
        <w:t>Firm Energy</w:t>
      </w:r>
      <w:r>
        <w:rPr>
          <w:rFonts w:cs="CG Times;Times New Roman" w:ascii="CG Times;Times New Roman" w:hAnsi="CG Times;Times New Roman"/>
          <w:sz w:val="24"/>
          <w:lang w:val="en-US"/>
        </w:rPr>
        <w:t>:</w:t>
        <w:tab/>
        <w:tab/>
        <w:t>R$40.00 (forty Reais) per MWh;</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hanging="720" w:start="2160" w:end="0"/>
        <w:jc w:val="both"/>
        <w:rPr/>
      </w:pPr>
      <w:r>
        <w:rPr>
          <w:rFonts w:cs="CG Times;Times New Roman" w:ascii="CG Times;Times New Roman" w:hAnsi="CG Times;Times New Roman"/>
          <w:sz w:val="24"/>
          <w:lang w:val="en-US"/>
        </w:rPr>
        <w:t>(b)</w:t>
        <w:tab/>
      </w:r>
      <w:r>
        <w:rPr>
          <w:rFonts w:cs="CG Times;Times New Roman" w:ascii="CG Times;Times New Roman" w:hAnsi="CG Times;Times New Roman"/>
          <w:b/>
          <w:i/>
          <w:sz w:val="24"/>
          <w:lang w:val="en-US"/>
        </w:rPr>
        <w:t>Interruptible Energy</w:t>
      </w:r>
      <w:r>
        <w:rPr>
          <w:rFonts w:cs="CG Times;Times New Roman" w:ascii="CG Times;Times New Roman" w:hAnsi="CG Times;Times New Roman"/>
          <w:sz w:val="24"/>
          <w:lang w:val="en-US"/>
        </w:rPr>
        <w:t>:</w:t>
        <w:tab/>
        <w:t>R$18.50 (eighteen Reais e fifty cents) per MWh.</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The Electric Energy purchase prices shall be adjusted annually, according to the annual variation of the IGP-M, calculated monthly by the Fundação Getúlio Vargas.  The first adjustment shall occur on May 1, 2001 and shall correspond to the variation of the IGP-M occurred during the period from May/2000 to May/2001.</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In the event the IGP-M ceases to exist the Parties shall agree on a replacement index, and in case there is no replacement index, the Parties shall agree upon an index that reflects the loss in the purchase power of the Brazilian Currency.</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t>As of May 1, 2004, the basis for calculation of the Firm Electric Energy prices shall be (a) R$40.00 (forty Reais) per MWh, adjusted annually since May 1, 2001, according to the IGP-M or (b) R$50.00 (fifty Reais) per MWh, whichever is greater.</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ind w:firstLine="23" w:start="1410" w:end="0"/>
        <w:jc w:val="both"/>
        <w:rPr/>
      </w:pPr>
      <w:r>
        <w:rPr>
          <w:rFonts w:cs="CG Times;Times New Roman" w:ascii="CG Times;Times New Roman" w:hAnsi="CG Times;Times New Roman"/>
          <w:sz w:val="24"/>
          <w:lang w:val="en-US"/>
        </w:rPr>
        <w:t>For the years after 2004, the Price of the firm Electric Energy shall equal to the price established in 2004, adjusted according to the IGP-M, on May 1</w:t>
      </w:r>
      <w:r>
        <w:rPr>
          <w:rFonts w:cs="CG Times;Times New Roman" w:ascii="CG Times;Times New Roman" w:hAnsi="CG Times;Times New Roman"/>
          <w:sz w:val="24"/>
          <w:vertAlign w:val="superscript"/>
          <w:lang w:val="en-US"/>
        </w:rPr>
        <w:t>st</w:t>
      </w:r>
      <w:r>
        <w:rPr>
          <w:rFonts w:cs="CG Times;Times New Roman" w:ascii="CG Times;Times New Roman" w:hAnsi="CG Times;Times New Roman"/>
          <w:sz w:val="24"/>
          <w:lang w:val="en-US"/>
        </w:rPr>
        <w:t xml:space="preserve"> of every subsequent year until the expiration of the term of this Agreement.</w:t>
      </w:r>
    </w:p>
    <w:p>
      <w:pPr>
        <w:pStyle w:val="Normal"/>
        <w:ind w:firstLine="23" w:start="1410" w:end="0"/>
        <w:jc w:val="both"/>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Normal"/>
        <w:rPr>
          <w:rFonts w:ascii="CG Times;Times New Roman" w:hAnsi="CG Times;Times New Roman" w:cs="CG Times;Times New Roman"/>
          <w:sz w:val="24"/>
          <w:lang w:val="en-US"/>
        </w:rPr>
      </w:pPr>
      <w:r>
        <w:rPr>
          <w:rFonts w:cs="CG Times;Times New Roman" w:ascii="CG Times;Times New Roman" w:hAnsi="CG Times;Times New Roman"/>
          <w:sz w:val="24"/>
          <w:lang w:val="en-US"/>
        </w:rPr>
      </w:r>
    </w:p>
    <w:p>
      <w:pPr>
        <w:pStyle w:val="BodyText"/>
        <w:widowControl w:val="false"/>
        <w:jc w:val="both"/>
        <w:rPr>
          <w:sz w:val="24"/>
          <w:lang w:val="en-US"/>
        </w:rPr>
      </w:pPr>
      <w:r>
        <w:rPr>
          <w:sz w:val="24"/>
          <w:lang w:val="en-US"/>
        </w:rPr>
      </w:r>
    </w:p>
    <w:sectPr>
      <w:footerReference w:type="default" r:id="rId2"/>
      <w:type w:val="nextPage"/>
      <w:pgSz w:w="12240" w:h="15840"/>
      <w:pgMar w:left="1701" w:right="1418" w:gutter="0" w:header="0" w:top="1701" w:footer="72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lowerLetter"/>
      <w:lvlText w:val="(%1)"/>
      <w:lvlJc w:val="start"/>
      <w:pPr>
        <w:tabs>
          <w:tab w:val="num" w:pos="1413"/>
        </w:tabs>
        <w:ind w:start="1413" w:hanging="705"/>
      </w:pPr>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lowerLetter"/>
      <w:lvlText w:val="(%1)"/>
      <w:lvlJc w:val="start"/>
      <w:pPr>
        <w:tabs>
          <w:tab w:val="num" w:pos="705"/>
        </w:tabs>
        <w:ind w:start="705" w:hanging="705"/>
      </w:pPr>
      <w:rPr/>
    </w:lvl>
  </w:abstractNum>
  <w:abstractNum w:abstractNumId="7">
    <w:lvl w:ilvl="0">
      <w:start w:val="1"/>
      <w:numFmt w:val="lowerLetter"/>
      <w:lvlText w:val="(%1)"/>
      <w:lvlJc w:val="start"/>
      <w:pPr>
        <w:tabs>
          <w:tab w:val="num" w:pos="2490"/>
        </w:tabs>
        <w:ind w:start="2490" w:hanging="360"/>
      </w:pPr>
      <w:rPr/>
    </w:lvl>
  </w:abstractNum>
  <w:abstractNum w:abstractNumId="8">
    <w:lvl w:ilvl="0">
      <w:start w:val="6"/>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eastAsia="zh-CN" w:bidi="hi-IN"/>
    </w:rPr>
  </w:style>
  <w:style w:type="paragraph" w:styleId="Heading1">
    <w:name w:val="heading 1"/>
    <w:basedOn w:val="Normal"/>
    <w:next w:val="Normal"/>
    <w:qFormat/>
    <w:pPr>
      <w:keepNext w:val="true"/>
      <w:numPr>
        <w:ilvl w:val="0"/>
        <w:numId w:val="1"/>
      </w:numPr>
      <w:jc w:val="end"/>
      <w:outlineLvl w:val="0"/>
    </w:pPr>
    <w:rPr>
      <w:rFonts w:ascii="CG Times;Times New Roman" w:hAnsi="CG Times;Times New Roman" w:cs="CG Times;Times New Roman"/>
      <w:b/>
      <w:sz w:val="18"/>
    </w:rPr>
  </w:style>
  <w:style w:type="paragraph" w:styleId="Heading2">
    <w:name w:val="heading 2"/>
    <w:basedOn w:val="Normal"/>
    <w:next w:val="BodyText"/>
    <w:qFormat/>
    <w:pPr>
      <w:numPr>
        <w:ilvl w:val="1"/>
        <w:numId w:val="1"/>
      </w:numPr>
      <w:spacing w:before="0" w:after="120"/>
      <w:jc w:val="both"/>
      <w:outlineLvl w:val="1"/>
    </w:pPr>
    <w:rPr>
      <w:sz w:val="22"/>
      <w:lang w:val="en-US"/>
    </w:rPr>
  </w:style>
  <w:style w:type="paragraph" w:styleId="Heading3">
    <w:name w:val="heading 3"/>
    <w:basedOn w:val="Normal"/>
    <w:next w:val="Normal"/>
    <w:qFormat/>
    <w:pPr>
      <w:keepNext w:val="true"/>
      <w:numPr>
        <w:ilvl w:val="2"/>
        <w:numId w:val="1"/>
      </w:numPr>
      <w:outlineLvl w:val="2"/>
    </w:pPr>
    <w:rPr>
      <w:rFonts w:ascii="CG Times;Times New Roman" w:hAnsi="CG Times;Times New Roman" w:cs="CG Times;Times New Roman"/>
      <w:sz w:val="24"/>
      <w:lang w:val="en-US"/>
    </w:rPr>
  </w:style>
  <w:style w:type="paragraph" w:styleId="Heading4">
    <w:name w:val="heading 4"/>
    <w:basedOn w:val="Normal"/>
    <w:next w:val="Normal"/>
    <w:qFormat/>
    <w:pPr>
      <w:keepNext w:val="true"/>
      <w:numPr>
        <w:ilvl w:val="3"/>
        <w:numId w:val="1"/>
      </w:numPr>
      <w:outlineLvl w:val="3"/>
    </w:pPr>
    <w:rPr>
      <w:rFonts w:ascii="CG Times;Times New Roman" w:hAnsi="CG Times;Times New Roman" w:cs="CG Times;Times New Roman"/>
      <w:b/>
      <w:sz w:val="24"/>
      <w:lang w:val="en-US"/>
    </w:rPr>
  </w:style>
  <w:style w:type="paragraph" w:styleId="Heading5">
    <w:name w:val="heading 5"/>
    <w:basedOn w:val="Normal"/>
    <w:next w:val="Normal"/>
    <w:qFormat/>
    <w:pPr>
      <w:keepNext w:val="true"/>
      <w:numPr>
        <w:ilvl w:val="4"/>
        <w:numId w:val="1"/>
      </w:numPr>
      <w:jc w:val="center"/>
      <w:outlineLvl w:val="4"/>
    </w:pPr>
    <w:rPr>
      <w:rFonts w:ascii="CG Times;Times New Roman" w:hAnsi="CG Times;Times New Roman" w:cs="CG Times;Times New Roman"/>
      <w:b/>
      <w:sz w:val="24"/>
      <w:lang w:val="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CG Times;Times New Roman" w:hAnsi="CG Times;Times New Roman" w:cs="CG Times;Times New Roman"/>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CG Times;Times New Roman" w:hAnsi="CG Times;Times New Roman" w:cs="CG Times;Times New Roman"/>
      <w:sz w:val="24"/>
      <w:lang w:val="en-US"/>
    </w:rPr>
  </w:style>
  <w:style w:type="paragraph" w:styleId="BodyTextIndent">
    <w:name w:val="Body Text Indent"/>
    <w:basedOn w:val="Normal"/>
    <w:pPr>
      <w:ind w:firstLine="708" w:start="0" w:end="0"/>
      <w:jc w:val="both"/>
    </w:pPr>
    <w:rPr>
      <w:rFonts w:ascii="CG Times;Times New Roman" w:hAnsi="CG Times;Times New Roman" w:cs="CG Times;Times New Roman"/>
      <w:sz w:val="24"/>
      <w:lang w:val="en-US"/>
    </w:rPr>
  </w:style>
  <w:style w:type="paragraph" w:styleId="BodyText3">
    <w:name w:val="Body Text 3"/>
    <w:basedOn w:val="Normal"/>
    <w:qFormat/>
    <w:pPr/>
    <w:rPr>
      <w:rFonts w:ascii="CG Times;Times New Roman" w:hAnsi="CG Times;Times New Roman" w:cs="CG Times;Times New Roman"/>
      <w:sz w:val="24"/>
      <w:lang w:val="en-US"/>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2000-01-27T09:55:00Z</dcterms:created>
  <dc:creator>Compaq1</dc:creator>
  <dc:description/>
  <dc:language>en-CA</dc:language>
  <cp:lastModifiedBy>ENRON</cp:lastModifiedBy>
  <cp:lastPrinted>2000-01-17T16:16:00Z</cp:lastPrinted>
  <dcterms:modified xsi:type="dcterms:W3CDTF">2000-01-27T09:55:00Z</dcterms:modified>
  <cp:revision>2</cp:revision>
  <dc:subject/>
  <dc:title>Minuta Revista para Discussão</dc:title>
</cp:coreProperties>
</file>