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t>Gentlemen-</w:t>
      </w:r>
    </w:p>
    <w:p>
      <w:pPr>
        <w:pStyle w:val="Normal"/>
        <w:rPr/>
      </w:pPr>
      <w:r>
        <w:rPr/>
      </w:r>
    </w:p>
    <w:p>
      <w:pPr>
        <w:pStyle w:val="Normal"/>
        <w:rPr/>
      </w:pPr>
      <w:r>
        <w:rPr/>
        <w:tab/>
        <w:t xml:space="preserve">We have completed our initial review of DPC compliance with the terms of the PPA and the State Support Agreement.  As expected, we have not uncovered any material non-compliance which would, at first glance, give MSEB the right to terminate the PPA or cancel the project.   Still, there are a number of issues which we have uncovered and which may be worth noting.  </w:t>
      </w:r>
    </w:p>
    <w:p>
      <w:pPr>
        <w:pStyle w:val="Normal"/>
        <w:rPr/>
      </w:pPr>
      <w:r>
        <w:rPr/>
      </w:r>
    </w:p>
    <w:p>
      <w:pPr>
        <w:pStyle w:val="Normal"/>
        <w:rPr/>
      </w:pPr>
      <w:r>
        <w:rPr/>
        <w:tab/>
        <w:t xml:space="preserve">We have generally assured ourselves as to DPC’s compliance through conversations with technical and commercial staff at DPC and have not, in most instances, pursued written confirmation.  We have, however, asked staff members to indicate where such written confirmation could be found in the event that Enron or DPC finds it necessary in the future to aggregate corroborative information. </w:t>
      </w:r>
    </w:p>
    <w:p>
      <w:pPr>
        <w:pStyle w:val="Normal"/>
        <w:rPr/>
      </w:pPr>
      <w:r>
        <w:rPr/>
      </w:r>
    </w:p>
    <w:p>
      <w:pPr>
        <w:pStyle w:val="Normal"/>
        <w:rPr/>
      </w:pPr>
      <w:r>
        <w:rPr/>
        <w:tab/>
        <w:t>Issues which merit further discussion can loosely be grouped into four categories: (i) areas of non-compliance (ii) areas of dispute between DPC and MSEB (iii) areas which are otherwise being independently reviewed and (iv) issues under the State Support Agreement.</w:t>
      </w:r>
    </w:p>
    <w:p>
      <w:pPr>
        <w:pStyle w:val="Normal"/>
        <w:rPr/>
      </w:pPr>
      <w:r>
        <w:rPr/>
      </w:r>
    </w:p>
    <w:p>
      <w:pPr>
        <w:pStyle w:val="Normal"/>
        <w:numPr>
          <w:ilvl w:val="0"/>
          <w:numId w:val="2"/>
        </w:numPr>
        <w:rPr/>
      </w:pPr>
      <w:r>
        <w:rPr/>
        <w:t>Non-compliance</w:t>
      </w:r>
    </w:p>
    <w:p>
      <w:pPr>
        <w:pStyle w:val="Normal"/>
        <w:rPr/>
      </w:pPr>
      <w:r>
        <w:rPr/>
      </w:r>
    </w:p>
    <w:p>
      <w:pPr>
        <w:pStyle w:val="Normal"/>
        <w:ind w:firstLine="720" w:end="0"/>
        <w:rPr/>
      </w:pPr>
      <w:r>
        <w:rPr/>
        <w:t>As indicated above, and from what we have been able to ascertain, the areas of explicit DPC non-compliance are few and appear to be limited to the following:</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188"/>
        <w:gridCol w:w="3870"/>
        <w:gridCol w:w="3798"/>
      </w:tblGrid>
      <w:tr>
        <w:trPr/>
        <w:tc>
          <w:tcPr>
            <w:tcW w:w="1188" w:type="dxa"/>
            <w:tcBorders>
              <w:top w:val="single" w:sz="4" w:space="0" w:color="000000"/>
              <w:start w:val="single" w:sz="4" w:space="0" w:color="000000"/>
              <w:bottom w:val="single" w:sz="4" w:space="0" w:color="000000"/>
              <w:end w:val="single" w:sz="4" w:space="0" w:color="000000"/>
            </w:tcBorders>
          </w:tcPr>
          <w:p>
            <w:pPr>
              <w:pStyle w:val="Normal"/>
              <w:jc w:val="center"/>
              <w:rPr/>
            </w:pPr>
            <w:r>
              <w:rPr/>
              <w:t>Clause</w:t>
            </w:r>
          </w:p>
        </w:tc>
        <w:tc>
          <w:tcPr>
            <w:tcW w:w="3870" w:type="dxa"/>
            <w:tcBorders>
              <w:top w:val="single" w:sz="4" w:space="0" w:color="000000"/>
              <w:start w:val="single" w:sz="4" w:space="0" w:color="000000"/>
              <w:bottom w:val="single" w:sz="4" w:space="0" w:color="000000"/>
              <w:end w:val="single" w:sz="4" w:space="0" w:color="000000"/>
            </w:tcBorders>
          </w:tcPr>
          <w:p>
            <w:pPr>
              <w:pStyle w:val="Normal"/>
              <w:jc w:val="center"/>
              <w:rPr/>
            </w:pPr>
            <w:r>
              <w:rPr/>
              <w:t>Obligation</w:t>
            </w:r>
          </w:p>
        </w:tc>
        <w:tc>
          <w:tcPr>
            <w:tcW w:w="3798" w:type="dxa"/>
            <w:tcBorders>
              <w:top w:val="single" w:sz="4" w:space="0" w:color="000000"/>
              <w:start w:val="single" w:sz="4" w:space="0" w:color="000000"/>
              <w:bottom w:val="single" w:sz="4" w:space="0" w:color="000000"/>
              <w:end w:val="single" w:sz="4" w:space="0" w:color="000000"/>
            </w:tcBorders>
          </w:tcPr>
          <w:p>
            <w:pPr>
              <w:pStyle w:val="Normal"/>
              <w:jc w:val="center"/>
              <w:rPr/>
            </w:pPr>
            <w:r>
              <w:rPr/>
              <w:t>Actual compliance</w:t>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rPr/>
            </w:pPr>
            <w:r>
              <w:rPr/>
              <w:t>3.10(c)</w:t>
            </w:r>
          </w:p>
        </w:tc>
        <w:tc>
          <w:tcPr>
            <w:tcW w:w="3870" w:type="dxa"/>
            <w:tcBorders>
              <w:top w:val="single" w:sz="4" w:space="0" w:color="000000"/>
              <w:start w:val="single" w:sz="4" w:space="0" w:color="000000"/>
              <w:bottom w:val="single" w:sz="4" w:space="0" w:color="000000"/>
              <w:end w:val="single" w:sz="4" w:space="0" w:color="000000"/>
            </w:tcBorders>
          </w:tcPr>
          <w:p>
            <w:pPr>
              <w:pStyle w:val="Normal"/>
              <w:rPr/>
            </w:pPr>
            <w:r>
              <w:rPr/>
              <w:t>Provide copies of amendments to project contracts</w:t>
            </w:r>
          </w:p>
        </w:tc>
        <w:tc>
          <w:tcPr>
            <w:tcW w:w="3798" w:type="dxa"/>
            <w:tcBorders>
              <w:top w:val="single" w:sz="4" w:space="0" w:color="000000"/>
              <w:start w:val="single" w:sz="4" w:space="0" w:color="000000"/>
              <w:bottom w:val="single" w:sz="4" w:space="0" w:color="000000"/>
              <w:end w:val="single" w:sz="4" w:space="0" w:color="000000"/>
            </w:tcBorders>
          </w:tcPr>
          <w:p>
            <w:pPr>
              <w:pStyle w:val="Normal"/>
              <w:rPr/>
            </w:pPr>
            <w:r>
              <w:rPr/>
              <w:t>It appears that DPC may not have provided copies of all construction contract CVs and amendments to MSEB.  Failure is possibly mitigated because (i) MPDCL otherwise had copies of several documents as an equity holder and (ii) it is not clear that Variations constitute “amendments” to the Construction Contracts</w:t>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rPr/>
            </w:pPr>
            <w:r>
              <w:rPr/>
              <w:t>5.3(b)(ii)</w:t>
            </w:r>
          </w:p>
        </w:tc>
        <w:tc>
          <w:tcPr>
            <w:tcW w:w="3870" w:type="dxa"/>
            <w:tcBorders>
              <w:top w:val="single" w:sz="4" w:space="0" w:color="000000"/>
              <w:start w:val="single" w:sz="4" w:space="0" w:color="000000"/>
              <w:bottom w:val="single" w:sz="4" w:space="0" w:color="000000"/>
              <w:end w:val="single" w:sz="4" w:space="0" w:color="000000"/>
            </w:tcBorders>
          </w:tcPr>
          <w:p>
            <w:pPr>
              <w:pStyle w:val="Normal"/>
              <w:rPr/>
            </w:pPr>
            <w:r>
              <w:rPr/>
              <w:t>Conduct part load test prior to ECS</w:t>
            </w:r>
          </w:p>
        </w:tc>
        <w:tc>
          <w:tcPr>
            <w:tcW w:w="3798" w:type="dxa"/>
            <w:tcBorders>
              <w:top w:val="single" w:sz="4" w:space="0" w:color="000000"/>
              <w:start w:val="single" w:sz="4" w:space="0" w:color="000000"/>
              <w:bottom w:val="single" w:sz="4" w:space="0" w:color="000000"/>
              <w:end w:val="single" w:sz="4" w:space="0" w:color="000000"/>
            </w:tcBorders>
          </w:tcPr>
          <w:p>
            <w:pPr>
              <w:pStyle w:val="Normal"/>
              <w:rPr/>
            </w:pPr>
            <w:r>
              <w:rPr/>
              <w:t xml:space="preserve">Part load test was not conducted prior to ECS.  As a result, MSEB refused to accept modifications to indicative operational curves. Effect has benefited MSEB and DPC at different points in time. </w:t>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rPr/>
            </w:pPr>
            <w:r>
              <w:rPr/>
              <w:t>6.2(a)</w:t>
            </w:r>
          </w:p>
        </w:tc>
        <w:tc>
          <w:tcPr>
            <w:tcW w:w="3870" w:type="dxa"/>
            <w:tcBorders>
              <w:top w:val="single" w:sz="4" w:space="0" w:color="000000"/>
              <w:start w:val="single" w:sz="4" w:space="0" w:color="000000"/>
              <w:bottom w:val="single" w:sz="4" w:space="0" w:color="000000"/>
              <w:end w:val="single" w:sz="4" w:space="0" w:color="000000"/>
            </w:tcBorders>
          </w:tcPr>
          <w:p>
            <w:pPr>
              <w:pStyle w:val="Normal"/>
              <w:rPr/>
            </w:pPr>
            <w:r>
              <w:rPr/>
              <w:t>Submit maintenance program 70 days prior to commencement of schedule year</w:t>
            </w:r>
          </w:p>
        </w:tc>
        <w:tc>
          <w:tcPr>
            <w:tcW w:w="3798" w:type="dxa"/>
            <w:tcBorders>
              <w:top w:val="single" w:sz="4" w:space="0" w:color="000000"/>
              <w:start w:val="single" w:sz="4" w:space="0" w:color="000000"/>
              <w:bottom w:val="single" w:sz="4" w:space="0" w:color="000000"/>
              <w:end w:val="single" w:sz="4" w:space="0" w:color="000000"/>
            </w:tcBorders>
          </w:tcPr>
          <w:p>
            <w:pPr>
              <w:pStyle w:val="Normal"/>
              <w:rPr/>
            </w:pPr>
            <w:r>
              <w:rPr/>
              <w:t>Maintenance program submitted approximately 30-40 days prior to commencement of schedule year</w:t>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rPr/>
            </w:pPr>
            <w:r>
              <w:rPr/>
              <w:t>10.2</w:t>
            </w:r>
          </w:p>
        </w:tc>
        <w:tc>
          <w:tcPr>
            <w:tcW w:w="3870" w:type="dxa"/>
            <w:tcBorders>
              <w:top w:val="single" w:sz="4" w:space="0" w:color="000000"/>
              <w:start w:val="single" w:sz="4" w:space="0" w:color="000000"/>
              <w:bottom w:val="single" w:sz="4" w:space="0" w:color="000000"/>
              <w:end w:val="single" w:sz="4" w:space="0" w:color="000000"/>
            </w:tcBorders>
          </w:tcPr>
          <w:p>
            <w:pPr>
              <w:pStyle w:val="Normal"/>
              <w:rPr/>
            </w:pPr>
            <w:r>
              <w:rPr/>
              <w:t>Rebate calculations to be done in January and September</w:t>
            </w:r>
          </w:p>
        </w:tc>
        <w:tc>
          <w:tcPr>
            <w:tcW w:w="3798" w:type="dxa"/>
            <w:tcBorders>
              <w:top w:val="single" w:sz="4" w:space="0" w:color="000000"/>
              <w:start w:val="single" w:sz="4" w:space="0" w:color="000000"/>
              <w:bottom w:val="single" w:sz="4" w:space="0" w:color="000000"/>
              <w:end w:val="single" w:sz="4" w:space="0" w:color="000000"/>
            </w:tcBorders>
          </w:tcPr>
          <w:p>
            <w:pPr>
              <w:pStyle w:val="Normal"/>
              <w:rPr/>
            </w:pPr>
            <w:r>
              <w:rPr/>
              <w:t>Rebates were calculated earlier than provided (e.g. in June ’00 instead of September ’00 and in November ’00 instead of January ’01). Early rebates were effected to benefit MSEB</w:t>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rPr/>
            </w:pPr>
            <w:r>
              <w:rPr/>
              <w:t>11.6</w:t>
            </w:r>
          </w:p>
        </w:tc>
        <w:tc>
          <w:tcPr>
            <w:tcW w:w="3870" w:type="dxa"/>
            <w:tcBorders>
              <w:top w:val="single" w:sz="4" w:space="0" w:color="000000"/>
              <w:start w:val="single" w:sz="4" w:space="0" w:color="000000"/>
              <w:bottom w:val="single" w:sz="4" w:space="0" w:color="000000"/>
              <w:end w:val="single" w:sz="4" w:space="0" w:color="000000"/>
            </w:tcBorders>
          </w:tcPr>
          <w:p>
            <w:pPr>
              <w:pStyle w:val="Normal"/>
              <w:rPr/>
            </w:pPr>
            <w:r>
              <w:rPr/>
              <w:t>Payments received are to be set off against longest outstanding payment obligations</w:t>
            </w:r>
          </w:p>
        </w:tc>
        <w:tc>
          <w:tcPr>
            <w:tcW w:w="3798" w:type="dxa"/>
            <w:tcBorders>
              <w:top w:val="single" w:sz="4" w:space="0" w:color="000000"/>
              <w:start w:val="single" w:sz="4" w:space="0" w:color="000000"/>
              <w:bottom w:val="single" w:sz="4" w:space="0" w:color="000000"/>
              <w:end w:val="single" w:sz="4" w:space="0" w:color="000000"/>
            </w:tcBorders>
          </w:tcPr>
          <w:p>
            <w:pPr>
              <w:pStyle w:val="Normal"/>
              <w:rPr/>
            </w:pPr>
            <w:r>
              <w:rPr/>
              <w:t xml:space="preserve">Certain obligations (e.g. late payment interest) have been treated as “disputed items”.  Accordingly, amounts received from MSEB have gone to satisfy current invoice obligations as opposed to existing liabilities.  Again, arguable non-compliance benefits MSEB. </w:t>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rPr/>
            </w:pPr>
            <w:r>
              <w:rPr/>
              <w:t>15.1</w:t>
            </w:r>
          </w:p>
        </w:tc>
        <w:tc>
          <w:tcPr>
            <w:tcW w:w="3870" w:type="dxa"/>
            <w:tcBorders>
              <w:top w:val="single" w:sz="4" w:space="0" w:color="000000"/>
              <w:start w:val="single" w:sz="4" w:space="0" w:color="000000"/>
              <w:bottom w:val="single" w:sz="4" w:space="0" w:color="000000"/>
              <w:end w:val="single" w:sz="4" w:space="0" w:color="000000"/>
            </w:tcBorders>
          </w:tcPr>
          <w:p>
            <w:pPr>
              <w:pStyle w:val="Normal"/>
              <w:rPr/>
            </w:pPr>
            <w:r>
              <w:rPr/>
              <w:t>Maintain insurance cover during construction period in respect of certain political risks (e.g. acts of war, radiation)</w:t>
            </w:r>
          </w:p>
        </w:tc>
        <w:tc>
          <w:tcPr>
            <w:tcW w:w="3798" w:type="dxa"/>
            <w:tcBorders>
              <w:top w:val="single" w:sz="4" w:space="0" w:color="000000"/>
              <w:start w:val="single" w:sz="4" w:space="0" w:color="000000"/>
              <w:bottom w:val="single" w:sz="4" w:space="0" w:color="000000"/>
              <w:end w:val="single" w:sz="4" w:space="0" w:color="000000"/>
            </w:tcBorders>
          </w:tcPr>
          <w:p>
            <w:pPr>
              <w:pStyle w:val="Normal"/>
              <w:rPr/>
            </w:pPr>
            <w:r>
              <w:rPr/>
              <w:t>Evidently these risks are not currently covered. Obligation is subject to availability at “reasonable commercial rates”.</w:t>
            </w:r>
          </w:p>
        </w:tc>
      </w:tr>
    </w:tbl>
    <w:p>
      <w:pPr>
        <w:pStyle w:val="Normal"/>
        <w:rPr/>
      </w:pPr>
      <w:r>
        <w:rPr/>
      </w:r>
    </w:p>
    <w:p>
      <w:pPr>
        <w:pStyle w:val="Normal"/>
        <w:rPr/>
      </w:pPr>
      <w:r>
        <w:rPr/>
      </w:r>
    </w:p>
    <w:p>
      <w:pPr>
        <w:pStyle w:val="Normal"/>
        <w:numPr>
          <w:ilvl w:val="0"/>
          <w:numId w:val="2"/>
        </w:numPr>
        <w:rPr/>
      </w:pPr>
      <w:r>
        <w:rPr/>
        <w:t>Disputes</w:t>
      </w:r>
    </w:p>
    <w:p>
      <w:pPr>
        <w:pStyle w:val="Normal"/>
        <w:rPr/>
      </w:pPr>
      <w:r>
        <w:rPr/>
      </w:r>
    </w:p>
    <w:p>
      <w:pPr>
        <w:pStyle w:val="Normal"/>
        <w:ind w:firstLine="720" w:end="0"/>
        <w:rPr/>
      </w:pPr>
      <w:r>
        <w:rPr/>
        <w:t>A number of other issues can be characterized as disputes between DPC and MSEB.  From MSEB’s perspective, these items are considered to be instances of DPC non-compliance and, as a result, are probably worth mention.  They include the following:</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1188"/>
        <w:gridCol w:w="3870"/>
        <w:gridCol w:w="3798"/>
      </w:tblGrid>
      <w:tr>
        <w:trPr/>
        <w:tc>
          <w:tcPr>
            <w:tcW w:w="1188" w:type="dxa"/>
            <w:tcBorders>
              <w:top w:val="single" w:sz="4" w:space="0" w:color="000000"/>
              <w:start w:val="single" w:sz="4" w:space="0" w:color="000000"/>
              <w:bottom w:val="single" w:sz="4" w:space="0" w:color="000000"/>
              <w:end w:val="single" w:sz="4" w:space="0" w:color="000000"/>
            </w:tcBorders>
          </w:tcPr>
          <w:p>
            <w:pPr>
              <w:pStyle w:val="Normal"/>
              <w:jc w:val="center"/>
              <w:rPr/>
            </w:pPr>
            <w:r>
              <w:rPr/>
              <w:t>Clause</w:t>
            </w:r>
          </w:p>
        </w:tc>
        <w:tc>
          <w:tcPr>
            <w:tcW w:w="3870" w:type="dxa"/>
            <w:tcBorders>
              <w:top w:val="single" w:sz="4" w:space="0" w:color="000000"/>
              <w:start w:val="single" w:sz="4" w:space="0" w:color="000000"/>
              <w:bottom w:val="single" w:sz="4" w:space="0" w:color="000000"/>
              <w:end w:val="single" w:sz="4" w:space="0" w:color="000000"/>
            </w:tcBorders>
          </w:tcPr>
          <w:p>
            <w:pPr>
              <w:pStyle w:val="Normal"/>
              <w:jc w:val="center"/>
              <w:rPr/>
            </w:pPr>
            <w:r>
              <w:rPr/>
              <w:t>Obligation</w:t>
            </w:r>
          </w:p>
        </w:tc>
        <w:tc>
          <w:tcPr>
            <w:tcW w:w="3798" w:type="dxa"/>
            <w:tcBorders>
              <w:top w:val="single" w:sz="4" w:space="0" w:color="000000"/>
              <w:start w:val="single" w:sz="4" w:space="0" w:color="000000"/>
              <w:bottom w:val="single" w:sz="4" w:space="0" w:color="000000"/>
              <w:end w:val="single" w:sz="4" w:space="0" w:color="000000"/>
            </w:tcBorders>
          </w:tcPr>
          <w:p>
            <w:pPr>
              <w:pStyle w:val="Normal"/>
              <w:jc w:val="center"/>
              <w:rPr/>
            </w:pPr>
            <w:r>
              <w:rPr/>
              <w:t>Actual compliance</w:t>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rPr/>
            </w:pPr>
            <w:r>
              <w:rPr/>
              <w:t>3.12(a)</w:t>
            </w:r>
          </w:p>
        </w:tc>
        <w:tc>
          <w:tcPr>
            <w:tcW w:w="3870" w:type="dxa"/>
            <w:tcBorders>
              <w:top w:val="single" w:sz="4" w:space="0" w:color="000000"/>
              <w:start w:val="single" w:sz="4" w:space="0" w:color="000000"/>
              <w:bottom w:val="single" w:sz="4" w:space="0" w:color="000000"/>
              <w:end w:val="single" w:sz="4" w:space="0" w:color="000000"/>
            </w:tcBorders>
          </w:tcPr>
          <w:p>
            <w:pPr>
              <w:pStyle w:val="Normal"/>
              <w:rPr/>
            </w:pPr>
            <w:r>
              <w:rPr/>
              <w:t>Provide MIDC funds in connection with acquisition of the site</w:t>
            </w:r>
          </w:p>
        </w:tc>
        <w:tc>
          <w:tcPr>
            <w:tcW w:w="3798" w:type="dxa"/>
            <w:tcBorders>
              <w:top w:val="single" w:sz="4" w:space="0" w:color="000000"/>
              <w:start w:val="single" w:sz="4" w:space="0" w:color="000000"/>
              <w:bottom w:val="single" w:sz="4" w:space="0" w:color="000000"/>
              <w:end w:val="single" w:sz="4" w:space="0" w:color="000000"/>
            </w:tcBorders>
          </w:tcPr>
          <w:p>
            <w:pPr>
              <w:pStyle w:val="Normal"/>
              <w:rPr/>
            </w:pPr>
            <w:r>
              <w:rPr/>
              <w:t xml:space="preserve">There are still two outstanding claims against DPC for compensation relating to the acquisition of land at the site.  (i) First, a claim has been made against DPC for contempt of a Bombay High Court order requiring DPC to pay compensation to project affected persons.  Petitioners claim that the court order required DPC to pay Rs. 15,000 per acre of acquired land while DPC interprets the order as requiring payment of only Rs. 10,000 per acre (which was paid some time ago).  The aggregate amount at stake is in the order of $100,000.  (ii) MIDC has made a claim against DPC for payment of additional costs incurred in connection with the acquisition of land for the Dabhol site.  DPC has argued that the MIDC lease does not contemplate additional payments being made to MIDC.  The amount in controversy is approximately $300,000. </w:t>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rPr/>
            </w:pPr>
            <w:r>
              <w:rPr/>
              <w:t>7.1(b)</w:t>
            </w:r>
          </w:p>
        </w:tc>
        <w:tc>
          <w:tcPr>
            <w:tcW w:w="3870" w:type="dxa"/>
            <w:tcBorders>
              <w:top w:val="single" w:sz="4" w:space="0" w:color="000000"/>
              <w:start w:val="single" w:sz="4" w:space="0" w:color="000000"/>
              <w:bottom w:val="single" w:sz="4" w:space="0" w:color="000000"/>
              <w:end w:val="single" w:sz="4" w:space="0" w:color="000000"/>
            </w:tcBorders>
          </w:tcPr>
          <w:p>
            <w:pPr>
              <w:pStyle w:val="Normal"/>
              <w:rPr/>
            </w:pPr>
            <w:r>
              <w:rPr/>
              <w:t>Power from the plant should be dedicated to MSEB.</w:t>
            </w:r>
          </w:p>
        </w:tc>
        <w:tc>
          <w:tcPr>
            <w:tcW w:w="3798" w:type="dxa"/>
            <w:tcBorders>
              <w:top w:val="single" w:sz="4" w:space="0" w:color="000000"/>
              <w:start w:val="single" w:sz="4" w:space="0" w:color="000000"/>
              <w:bottom w:val="single" w:sz="4" w:space="0" w:color="000000"/>
              <w:end w:val="single" w:sz="4" w:space="0" w:color="000000"/>
            </w:tcBorders>
          </w:tcPr>
          <w:p>
            <w:pPr>
              <w:pStyle w:val="Normal"/>
              <w:rPr/>
            </w:pPr>
            <w:r>
              <w:rPr/>
              <w:t>Limited amounts of power (in all cases less than 1 MW) have been drawn from Phase I for Phase II construction without reducing declared availability.  MSEB has objected to the practice and, as a result, DPC has begun declaring lower availability.  MSEB has requested compensation for previous power used in Phase II construction. DPC has refused on the grounds that provision of power would not have affected actual power dispatched.</w:t>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rPr/>
            </w:pPr>
            <w:r>
              <w:rPr/>
              <w:t>8.4(b)</w:t>
            </w:r>
          </w:p>
        </w:tc>
        <w:tc>
          <w:tcPr>
            <w:tcW w:w="3870" w:type="dxa"/>
            <w:tcBorders>
              <w:top w:val="single" w:sz="4" w:space="0" w:color="000000"/>
              <w:start w:val="single" w:sz="4" w:space="0" w:color="000000"/>
              <w:bottom w:val="single" w:sz="4" w:space="0" w:color="000000"/>
              <w:end w:val="single" w:sz="4" w:space="0" w:color="000000"/>
            </w:tcBorders>
          </w:tcPr>
          <w:p>
            <w:pPr>
              <w:pStyle w:val="Normal"/>
              <w:rPr/>
            </w:pPr>
            <w:r>
              <w:rPr/>
              <w:t>Penalties for mis-declaration</w:t>
            </w:r>
          </w:p>
        </w:tc>
        <w:tc>
          <w:tcPr>
            <w:tcW w:w="3798" w:type="dxa"/>
            <w:tcBorders>
              <w:top w:val="single" w:sz="4" w:space="0" w:color="000000"/>
              <w:start w:val="single" w:sz="4" w:space="0" w:color="000000"/>
              <w:bottom w:val="single" w:sz="4" w:space="0" w:color="000000"/>
              <w:end w:val="single" w:sz="4" w:space="0" w:color="000000"/>
            </w:tcBorders>
          </w:tcPr>
          <w:p>
            <w:pPr>
              <w:pStyle w:val="Normal"/>
              <w:rPr/>
            </w:pPr>
            <w:r>
              <w:rPr/>
              <w:t>DPC and MSEB initially disagreed as to whether availability and dispatch were to be calculated at base or ambient conditions.  Ultimately MSEB set off $10 million against invoice liability in Sept. ’99 as a result of claimed mismeasurement.  MSEB has not, to date, made claim for misdeclaration (and may be precluded from such a claim by Clause 11.4)</w:t>
            </w:r>
          </w:p>
        </w:tc>
      </w:tr>
    </w:tbl>
    <w:p>
      <w:pPr>
        <w:pStyle w:val="Normal"/>
        <w:rPr/>
      </w:pPr>
      <w:r>
        <w:rPr/>
      </w:r>
    </w:p>
    <w:p>
      <w:pPr>
        <w:pStyle w:val="Normal"/>
        <w:rPr/>
      </w:pPr>
      <w:r>
        <w:rPr/>
      </w:r>
    </w:p>
    <w:p>
      <w:pPr>
        <w:pStyle w:val="Normal"/>
        <w:numPr>
          <w:ilvl w:val="0"/>
          <w:numId w:val="2"/>
        </w:numPr>
        <w:rPr/>
      </w:pPr>
      <w:r>
        <w:rPr/>
        <w:t>Subject to other review</w:t>
      </w:r>
    </w:p>
    <w:p>
      <w:pPr>
        <w:pStyle w:val="Normal"/>
        <w:rPr/>
      </w:pPr>
      <w:r>
        <w:rPr/>
      </w:r>
    </w:p>
    <w:p>
      <w:pPr>
        <w:pStyle w:val="Normal"/>
        <w:rPr/>
      </w:pPr>
      <w:r>
        <w:rPr/>
        <w:t>As you know, an audit of DPC’s compliance with clearances is currently being undertaken and a check of compliance with applicable laws is planned.  In addition to the more general implications of these obligations, failure to comply with Clearances or applicable laws could breach sections of the PPA including Clause 6.1(a) which requires that the power station be operated in accordance with applicable laws and directives.</w:t>
      </w:r>
    </w:p>
    <w:p>
      <w:pPr>
        <w:pStyle w:val="Normal"/>
        <w:rPr/>
      </w:pPr>
      <w:r>
        <w:rPr/>
      </w:r>
    </w:p>
    <w:p>
      <w:pPr>
        <w:pStyle w:val="Normal"/>
        <w:numPr>
          <w:ilvl w:val="0"/>
          <w:numId w:val="2"/>
        </w:numPr>
        <w:rPr/>
      </w:pPr>
      <w:r>
        <w:rPr/>
        <w:t xml:space="preserve">State Support Agreement </w:t>
      </w:r>
    </w:p>
    <w:p>
      <w:pPr>
        <w:pStyle w:val="Normal"/>
        <w:rPr/>
      </w:pPr>
      <w:r>
        <w:rPr/>
      </w:r>
    </w:p>
    <w:p>
      <w:pPr>
        <w:pStyle w:val="Normal"/>
        <w:rPr/>
      </w:pPr>
      <w:r>
        <w:rPr/>
        <w:t>Finally, we have also considered the extent to which DPC could be considered to be complying with its limited obligations under the State Support Agreement.  The only provision which appears relevant is Clause 5.2 (a) which requires DPC to pay the relevant agency of GOM costs (as may be “properly and reasonably incurred”) “in connection with the acquisition of the sites, the resettlement of local residents and the grant of the leasehold title to the sites to DPC”.  This provision could, presumably, be implicated as a result of the same disagreements discussed with respect to Clause 3.12(a) of the PPA above.</w:t>
      </w:r>
    </w:p>
    <w:p>
      <w:pPr>
        <w:pStyle w:val="Normal"/>
        <w:rPr/>
      </w:pPr>
      <w:r>
        <w:rPr/>
      </w:r>
    </w:p>
    <w:p>
      <w:pPr>
        <w:pStyle w:val="Normal"/>
        <w:rPr/>
      </w:pPr>
      <w:r>
        <w:rPr/>
      </w:r>
    </w:p>
    <w:p>
      <w:pPr>
        <w:pStyle w:val="Normal"/>
        <w:rPr/>
      </w:pPr>
      <w:r>
        <w:rPr/>
        <w:tab/>
        <w:t xml:space="preserve">If you are interested in reviewing the larger matrix of PPA obligations which we have prepared in connection with this exercise, please let me know and I will forward it to you.  Also, please feel free to contact me if you have questions regarding or require any elaboration of the foregoing. </w:t>
      </w:r>
    </w:p>
    <w:p>
      <w:pPr>
        <w:pStyle w:val="Normal"/>
        <w:rPr/>
      </w:pPr>
      <w:r>
        <w:rPr/>
      </w:r>
    </w:p>
    <w:p>
      <w:pPr>
        <w:pStyle w:val="Normal"/>
        <w:rPr/>
      </w:pPr>
      <w:r>
        <w:rPr/>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ATTORNEY CLIENT PRIVILEDGE</w:t>
    </w:r>
  </w:p>
  <w:p>
    <w:pPr>
      <w:pStyle w:val="Header"/>
      <w:jc w:val="end"/>
      <w:rPr/>
    </w:pPr>
    <w:r>
      <w:rPr/>
      <w:t>ATTORNEY WORK PRODUCT</w:t>
    </w:r>
  </w:p>
  <w:p>
    <w:pPr>
      <w:pStyle w:val="Header"/>
      <w:jc w:val="end"/>
      <w:rPr/>
    </w:pPr>
    <w:r>
      <w:rPr/>
      <w:t>CONFIDENTIAL &amp; PROPRIETARY</w:t>
    </w:r>
  </w:p>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2000-12-10T06:36:00Z</dcterms:created>
  <dc:creator>Enron Technology</dc:creator>
  <dc:description/>
  <dc:language>en-CA</dc:language>
  <cp:lastModifiedBy>Enron Technology</cp:lastModifiedBy>
  <cp:lastPrinted>2000-12-11T17:37:00Z</cp:lastPrinted>
  <dcterms:modified xsi:type="dcterms:W3CDTF">2000-12-11T10:02:00Z</dcterms:modified>
  <cp:revision>23</cp:revision>
  <dc:subject/>
  <dc:title>PPA Compliance Notes</dc:title>
</cp:coreProperties>
</file>