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u w:val="single"/>
        </w:rPr>
      </w:pPr>
      <w:r>
        <w:rPr>
          <w:u w:val="single"/>
        </w:rPr>
        <w:t>Electricity Auction Concludes</w:t>
      </w:r>
    </w:p>
    <w:p>
      <w:pPr>
        <w:pStyle w:val="Normal"/>
        <w:rPr>
          <w:rFonts w:ascii="Helvetica" w:hAnsi="Helvetica" w:cs="Helvetica"/>
          <w:sz w:val="24"/>
          <w:u w:val="single"/>
        </w:rPr>
      </w:pPr>
      <w:r>
        <w:rPr>
          <w:rFonts w:cs="Helvetica" w:ascii="Helvetica" w:hAnsi="Helvetica"/>
          <w:sz w:val="24"/>
          <w:u w:val="single"/>
        </w:rPr>
      </w:r>
    </w:p>
    <w:p>
      <w:pPr>
        <w:pStyle w:val="Heading3"/>
        <w:ind w:hanging="0" w:start="0"/>
        <w:rPr/>
      </w:pPr>
      <w:r>
        <w:rPr/>
        <w:t>Issue</w:t>
      </w:r>
    </w:p>
    <w:p>
      <w:pPr>
        <w:pStyle w:val="Normal"/>
        <w:rPr/>
      </w:pPr>
      <w:r>
        <w:rPr/>
      </w:r>
    </w:p>
    <w:p>
      <w:pPr>
        <w:pStyle w:val="Normal"/>
        <w:rPr/>
      </w:pPr>
      <w:r>
        <w:rPr/>
        <w:t xml:space="preserve">Alberta Resource Development’s highest priority for this year is the deregulation of the province’s electricity industry.  The recently concluded Auction of Power Purchase Arrangements was a key step in that process.  As the media coverage indicates, there is considerable debate over the Auction’s success and its impact on the deregulation process. </w:t>
      </w:r>
    </w:p>
    <w:p>
      <w:pPr>
        <w:pStyle w:val="Normal"/>
        <w:rPr>
          <w:b/>
        </w:rPr>
      </w:pPr>
      <w:r>
        <w:rPr>
          <w:b/>
        </w:rPr>
      </w:r>
    </w:p>
    <w:p>
      <w:pPr>
        <w:pStyle w:val="Normal"/>
        <w:rPr/>
      </w:pPr>
      <w:r>
        <w:rPr/>
        <w:t xml:space="preserve">It appears by the media coverage and the tone of the positions taken, combined with the developments in electricity yet to come, this issue will continue to be an important one for the government from now to the next election.  Industrial customer representatives and the Liberal opposition have expressed their strong opposition to the government’s deregulation process and the media have picked up on this resentment, thereby compounding the difficulties faced by the government in what is an extremely complicated policy process. </w:t>
      </w:r>
    </w:p>
    <w:p>
      <w:pPr>
        <w:pStyle w:val="Normal"/>
        <w:rPr>
          <w:b/>
        </w:rPr>
      </w:pPr>
      <w:r>
        <w:rPr>
          <w:b/>
        </w:rPr>
      </w:r>
    </w:p>
    <w:p>
      <w:pPr>
        <w:pStyle w:val="Header"/>
        <w:tabs>
          <w:tab w:val="clear" w:pos="4320"/>
          <w:tab w:val="clear" w:pos="8640"/>
        </w:tabs>
        <w:rPr>
          <w:b/>
        </w:rPr>
      </w:pPr>
      <w:r>
        <w:rPr>
          <w:b/>
        </w:rPr>
        <w:t>Background</w:t>
      </w:r>
    </w:p>
    <w:p>
      <w:pPr>
        <w:pStyle w:val="Normal"/>
        <w:rPr>
          <w:b/>
        </w:rPr>
      </w:pPr>
      <w:r>
        <w:rPr>
          <w:b/>
        </w:rPr>
      </w:r>
    </w:p>
    <w:p>
      <w:pPr>
        <w:pStyle w:val="Normal"/>
        <w:rPr/>
      </w:pPr>
      <w:r>
        <w:rPr/>
        <w:t>The following is a brief background of the process:</w:t>
      </w:r>
    </w:p>
    <w:p>
      <w:pPr>
        <w:pStyle w:val="Header"/>
        <w:tabs>
          <w:tab w:val="clear" w:pos="4320"/>
          <w:tab w:val="clear" w:pos="8640"/>
        </w:tabs>
        <w:rPr/>
      </w:pPr>
      <w:r>
        <w:rPr/>
      </w:r>
    </w:p>
    <w:p>
      <w:pPr>
        <w:pStyle w:val="Normal"/>
        <w:rPr>
          <w:b/>
        </w:rPr>
      </w:pPr>
      <w:r>
        <w:rPr>
          <w:b/>
        </w:rPr>
        <w:t>Key Terms:</w:t>
      </w:r>
    </w:p>
    <w:p>
      <w:pPr>
        <w:pStyle w:val="Normal"/>
        <w:rPr>
          <w:b/>
        </w:rPr>
      </w:pPr>
      <w:r>
        <w:rPr>
          <w:b/>
        </w:rPr>
      </w:r>
    </w:p>
    <w:p>
      <w:pPr>
        <w:pStyle w:val="Normal"/>
        <w:rPr>
          <w:b/>
        </w:rPr>
      </w:pPr>
      <w:r>
        <w:rPr>
          <w:b/>
        </w:rPr>
        <w:t xml:space="preserve">Power Purchase Arrangements (PPA): </w:t>
        <w:tab/>
      </w:r>
    </w:p>
    <w:p>
      <w:pPr>
        <w:pStyle w:val="Normal"/>
        <w:rPr>
          <w:b/>
        </w:rPr>
      </w:pPr>
      <w:r>
        <w:rPr>
          <w:b/>
        </w:rPr>
      </w:r>
    </w:p>
    <w:p>
      <w:pPr>
        <w:pStyle w:val="Normal"/>
        <w:numPr>
          <w:ilvl w:val="0"/>
          <w:numId w:val="3"/>
        </w:numPr>
        <w:rPr/>
      </w:pPr>
      <w:r>
        <w:rPr/>
        <w:t xml:space="preserve">In 1999, the EUB approved the terms for 13 Power Purchase Arrangements (PPA) which represent groupings of Alberta’s 60 regulated generating units.  These PPAs included all of the costs associated with running these units over their base-life.  Due to the staggered base-lives of these units, the PPAs run from three to twenty years.  All of the units’ fixed and variable costs (operating &amp; maintenance, fuel costs, depreciation, taxation etc) will be assumed by the winning Auction bidders and paid back to the actual generating unit owners (TransAlta, ATCO electric and EPCOR).  The units will still be owned by these three utilities.  By creating the PPAs and turning them over to new marketers, the government has undertaken a virtual divestiture.  The purpose of this is to increase the number of marketers into the pool (from three to the now five) and determine the residual value and stranded costs associated with these plants through a market means, that being the escalating bidding process of the Auction. </w:t>
      </w:r>
    </w:p>
    <w:p>
      <w:pPr>
        <w:pStyle w:val="Normal"/>
        <w:rPr/>
      </w:pPr>
      <w:r>
        <w:rPr/>
      </w:r>
    </w:p>
    <w:p>
      <w:pPr>
        <w:pStyle w:val="Normal"/>
        <w:rPr>
          <w:b/>
        </w:rPr>
      </w:pPr>
      <w:r>
        <w:rPr>
          <w:b/>
        </w:rPr>
        <w:t>The Auction:</w:t>
      </w:r>
    </w:p>
    <w:p>
      <w:pPr>
        <w:pStyle w:val="Normal"/>
        <w:rPr>
          <w:b/>
        </w:rPr>
      </w:pPr>
      <w:r>
        <w:rPr>
          <w:b/>
        </w:rPr>
      </w:r>
    </w:p>
    <w:p>
      <w:pPr>
        <w:pStyle w:val="Normal"/>
        <w:numPr>
          <w:ilvl w:val="0"/>
          <w:numId w:val="5"/>
        </w:numPr>
        <w:rPr/>
      </w:pPr>
      <w:r>
        <w:rPr/>
        <w:t xml:space="preserve">The Auction was a forum through which pre-qualified bidders competed for the right to manage the PPAs and to determine the residual value and stranded costs of the Alberta’s regulated generation.  The residual value is determined as the difference between the cost of each PPA, as set by the EUB, and the ultimate price paid for by the marketers following escalating bidding.  Marketers will then sell the output they won the rights to through the Power Pool in competition with each other.  Marketer profits will be added to the price they paid at the Auction.  There were units that were determined to bear stranded costs (in other words, they would not be competitive in an open market).  Bidders were allowed to make negative bids for these units.  </w:t>
      </w:r>
    </w:p>
    <w:p>
      <w:pPr>
        <w:pStyle w:val="Normal"/>
        <w:ind w:start="720" w:end="0"/>
        <w:rPr/>
      </w:pPr>
      <w:r>
        <w:rPr/>
      </w:r>
    </w:p>
    <w:p>
      <w:pPr>
        <w:pStyle w:val="Normal"/>
        <w:numPr>
          <w:ilvl w:val="0"/>
          <w:numId w:val="5"/>
        </w:numPr>
        <w:rPr/>
      </w:pPr>
      <w:r>
        <w:rPr/>
        <w:t xml:space="preserve">At the start of the Auction, there were 19 qualified bidders.  A number withdrew, others were amalgamated and seven remained to participate.  Two, UtiliCorp United (which recently purchased TransAlta’s distribution wires assets) and PanCanadian Petroleum did not win units.  Enron, Engage, EPCOR, Enmax and TransCanada Power were successful in their attempts to secure PPAs.  Their bid amount, less the value of the three units that were not bid and the value of the stranded costs associated with the Engage unit, totaled a positive value of $1.1 billion.  This amount was deposited in the Balancing Pool. </w:t>
      </w:r>
    </w:p>
    <w:p>
      <w:pPr>
        <w:pStyle w:val="Normal"/>
        <w:rPr/>
      </w:pPr>
      <w:r>
        <w:rPr/>
      </w:r>
    </w:p>
    <w:p>
      <w:pPr>
        <w:pStyle w:val="Normal"/>
        <w:rPr>
          <w:b/>
        </w:rPr>
      </w:pPr>
      <w:r>
        <w:rPr>
          <w:b/>
        </w:rPr>
        <w:t xml:space="preserve">Balancing Pool: </w:t>
      </w:r>
    </w:p>
    <w:p>
      <w:pPr>
        <w:pStyle w:val="Normal"/>
        <w:rPr>
          <w:b/>
        </w:rPr>
      </w:pPr>
      <w:r>
        <w:rPr>
          <w:b/>
        </w:rPr>
      </w:r>
    </w:p>
    <w:p>
      <w:pPr>
        <w:pStyle w:val="Normal"/>
        <w:numPr>
          <w:ilvl w:val="0"/>
          <w:numId w:val="10"/>
        </w:numPr>
        <w:rPr/>
      </w:pPr>
      <w:r>
        <w:rPr/>
        <w:t xml:space="preserve">A unique feature of the Auction was its design to introduce more marketers to the province and also to capture the residual value and stranded asset value within Alberta’s regulated generation units.  As explained above, the difference between the bid price and the costs of the PPA is the residual value. Some units are not competitive in an unregulated market (high stranded costs), therefore they received negative bids and marketers will then be paid by the Balancing Pool to operate those units (Engage won with a negative bid).   There were three units that were not bid.  These units will be returned, essentially, to regulated service.    </w:t>
      </w:r>
    </w:p>
    <w:p>
      <w:pPr>
        <w:pStyle w:val="Normal"/>
        <w:rPr/>
      </w:pPr>
      <w:r>
        <w:rPr/>
      </w:r>
    </w:p>
    <w:p>
      <w:pPr>
        <w:pStyle w:val="Normal"/>
        <w:rPr>
          <w:b/>
        </w:rPr>
      </w:pPr>
      <w:r>
        <w:rPr>
          <w:b/>
        </w:rPr>
        <w:t xml:space="preserve">Regulated/Un-Regulated Generation: </w:t>
      </w:r>
    </w:p>
    <w:p>
      <w:pPr>
        <w:pStyle w:val="Normal"/>
        <w:rPr>
          <w:b/>
        </w:rPr>
      </w:pPr>
      <w:r>
        <w:rPr>
          <w:b/>
        </w:rPr>
      </w:r>
    </w:p>
    <w:p>
      <w:pPr>
        <w:pStyle w:val="Normal"/>
        <w:numPr>
          <w:ilvl w:val="0"/>
          <w:numId w:val="7"/>
        </w:numPr>
        <w:rPr/>
      </w:pPr>
      <w:r>
        <w:rPr/>
        <w:t>The recent Auction only pertained to turning over Alberta’s regulated generation units to marketers.  Since 1996, all generation built in Alberta has been unregulated.  Companies who have built units since this time sell them into the Alberta Power Pool at their own risk and compete against the regulated units for customers.  Unregulated plants are primarily gas-fired generation associated with existing industrial developments (e.g. ATCO / EPCOR at NOVA’s Joffre petrochemical facility, TransAlta at Suncor).</w:t>
        <w:br/>
        <w:br/>
        <w:t>This arrangement provides them with an adjacent demand “load” which help secure their construction costs.  As these plants are gas-fired, their costs are reflective of the rising costs of natural gas.</w:t>
      </w:r>
    </w:p>
    <w:p>
      <w:pPr>
        <w:pStyle w:val="Normal"/>
        <w:rPr/>
      </w:pPr>
      <w:r>
        <w:rPr/>
      </w:r>
    </w:p>
    <w:p>
      <w:pPr>
        <w:pStyle w:val="Header"/>
        <w:tabs>
          <w:tab w:val="clear" w:pos="4320"/>
          <w:tab w:val="clear" w:pos="8640"/>
        </w:tabs>
        <w:rPr>
          <w:b/>
        </w:rPr>
      </w:pPr>
      <w:r>
        <w:rPr>
          <w:b/>
        </w:rPr>
        <w:t>Reaction to the Auction</w:t>
      </w:r>
    </w:p>
    <w:p>
      <w:pPr>
        <w:pStyle w:val="Normal"/>
        <w:rPr>
          <w:b/>
        </w:rPr>
      </w:pPr>
      <w:r>
        <w:rPr>
          <w:b/>
        </w:rPr>
      </w:r>
    </w:p>
    <w:p>
      <w:pPr>
        <w:pStyle w:val="Normal"/>
        <w:rPr/>
      </w:pPr>
      <w:r>
        <w:rPr/>
        <w:t xml:space="preserve">Consumer groups and the Liberal opposition have suggested that the net proceeds of the Auction should have been a positive $2 to $4 billion.  They believe these estimates reflect what the value of the plants should be.  In other words, this is a figure they believe Alberta industrial and residential consumers are entitled to as they are the ones that have been paying for the costs of these plants through regulated rates.  They argue, therefore, that the government’s Auction acted to sell the plants off at a “fire sale” prices.  The government, in turn, responded that the Auction was the market-based way to determine the value of these plants.  </w:t>
      </w:r>
    </w:p>
    <w:p>
      <w:pPr>
        <w:pStyle w:val="Normal"/>
        <w:rPr/>
      </w:pPr>
      <w:r>
        <w:rPr/>
      </w:r>
    </w:p>
    <w:p>
      <w:pPr>
        <w:pStyle w:val="Normal"/>
        <w:rPr/>
      </w:pPr>
      <w:r>
        <w:rPr/>
        <w:t xml:space="preserve">Of interest, the government chose the Auction model from a series of recommendations proposed to it by Boston-based consulting firm London Economics.  London Economics would have preferred forced divestiture, but the government committed to the existing utilities that it would not proceed with forced divestiture when it began the deregulation process in 1994.  According to industry contacts familiar with the London Economics recommendation, the Auction was their second recommendation, but it managed to capture the imagination of the Alberta government and the Alberta utilities and was ultimately chosen as the course to pursue.    </w:t>
      </w:r>
    </w:p>
    <w:p>
      <w:pPr>
        <w:pStyle w:val="Normal"/>
        <w:rPr/>
      </w:pPr>
      <w:r>
        <w:rPr/>
      </w:r>
    </w:p>
    <w:p>
      <w:pPr>
        <w:pStyle w:val="Normal"/>
        <w:rPr/>
      </w:pPr>
      <w:r>
        <w:rPr/>
        <w:t xml:space="preserve">The next step for the government will be to allocate the proceeds of the Auction between residential and industrial customers.  The Industrial Power Consumers and Cogenerators Association of Alberta (IPCAA) represents approximately 20 industrial consumers and has been a strong critic of the government and of the utilities as it seeks to defend its members interests.  It will likely defend its interests aggressively with the government to seek as great a percentage of that residual value as possible.  IPCAA will likely be squaring off against the Consumers Coalition of Alberta and perhaps some municipalities in arguing for greater residential customer share of the Balancing Pool proceeds.  The latter has an obviously compelling public resonance, particularly as other consumer commodity prices rise, namely gasoline and natural gas.   </w:t>
      </w:r>
    </w:p>
    <w:p>
      <w:pPr>
        <w:pStyle w:val="Normal"/>
        <w:rPr/>
      </w:pPr>
      <w:r>
        <w:rPr/>
      </w:r>
    </w:p>
    <w:p>
      <w:pPr>
        <w:pStyle w:val="Header"/>
        <w:tabs>
          <w:tab w:val="clear" w:pos="4320"/>
          <w:tab w:val="clear" w:pos="8640"/>
        </w:tabs>
        <w:rPr>
          <w:b/>
        </w:rPr>
      </w:pPr>
      <w:r>
        <w:rPr>
          <w:b/>
        </w:rPr>
        <w:t>Impact on Price</w:t>
      </w:r>
    </w:p>
    <w:p>
      <w:pPr>
        <w:pStyle w:val="Normal"/>
        <w:rPr>
          <w:b/>
        </w:rPr>
      </w:pPr>
      <w:r>
        <w:rPr>
          <w:b/>
        </w:rPr>
      </w:r>
    </w:p>
    <w:p>
      <w:pPr>
        <w:pStyle w:val="Normal"/>
        <w:rPr/>
      </w:pPr>
      <w:r>
        <w:rPr/>
        <w:t xml:space="preserve">There are a number of factors to consider regarding the impact of Alberta’s deregulation process on the cost of electricity in the province: </w:t>
      </w:r>
    </w:p>
    <w:p>
      <w:pPr>
        <w:pStyle w:val="Normal"/>
        <w:rPr/>
      </w:pPr>
      <w:r>
        <w:rPr/>
      </w:r>
    </w:p>
    <w:p>
      <w:pPr>
        <w:pStyle w:val="Normal"/>
        <w:numPr>
          <w:ilvl w:val="0"/>
          <w:numId w:val="6"/>
        </w:numPr>
        <w:rPr/>
      </w:pPr>
      <w:r>
        <w:rPr/>
        <w:t xml:space="preserve">Obviously, the greater the residual value, the greater the return to consumers and the greater the offset of rising prices.  Many consumer representatives blame the high prices set for the PPAs at the outset of the Auction as limiting the potential for what could be returned.  The government, the regulator and the utilities defend those PPA terms as reflecting a great deal of risk that must be considered when projecting costs for periods of up to twenty years.  </w:t>
      </w:r>
    </w:p>
    <w:p>
      <w:pPr>
        <w:pStyle w:val="Normal"/>
        <w:rPr/>
      </w:pPr>
      <w:r>
        <w:rPr/>
      </w:r>
    </w:p>
    <w:p>
      <w:pPr>
        <w:pStyle w:val="Normal"/>
        <w:numPr>
          <w:ilvl w:val="0"/>
          <w:numId w:val="4"/>
        </w:numPr>
        <w:rPr/>
      </w:pPr>
      <w:r>
        <w:rPr/>
        <w:t xml:space="preserve">Many have blamed the government’s protracted deregulation policy process as the reason for stalled development in generation.  Clearly, the policy uncertainty created a poor climate within which to invest.  This, coupled with rapidly growing residential and industrial demand, compounded the problem.  While generation is being built in Alberta, it is not catching up to demand.  In fact, the Transmission Administrator has offered subsidies to incent the development of 250 megawatts near Calgary by December 2001.   PanCanadian Petroleum and TransCanada Power have won the rights to those subsidies and have already filed with environmental regulators to build those plants. </w:t>
      </w:r>
    </w:p>
    <w:p>
      <w:pPr>
        <w:pStyle w:val="Normal"/>
        <w:rPr/>
      </w:pPr>
      <w:r>
        <w:rPr/>
      </w:r>
    </w:p>
    <w:p>
      <w:pPr>
        <w:pStyle w:val="Normal"/>
        <w:numPr>
          <w:ilvl w:val="0"/>
          <w:numId w:val="2"/>
        </w:numPr>
        <w:rPr/>
      </w:pPr>
      <w:r>
        <w:rPr/>
        <w:t xml:space="preserve">It is our understanding that in Alberta a generating unit is out of service on average of one every three days.  This contributes to an already high average pool price.  According to the Pool, average wholesale prices were $14.42/MWh in 1996, they are presently averaging $78.21/MWh in 2000 and are rising.  Often the Pool price reaches $500+/MWh over the course of a day.  </w:t>
      </w:r>
    </w:p>
    <w:p>
      <w:pPr>
        <w:pStyle w:val="Normal"/>
        <w:rPr/>
      </w:pPr>
      <w:r>
        <w:rPr/>
      </w:r>
    </w:p>
    <w:p>
      <w:pPr>
        <w:pStyle w:val="Normal"/>
        <w:numPr>
          <w:ilvl w:val="0"/>
          <w:numId w:val="12"/>
        </w:numPr>
        <w:rPr/>
      </w:pPr>
      <w:r>
        <w:rPr/>
        <w:t xml:space="preserve">The price of natural gas is also a factor.  While gas fired generation represents approximately 10% of Alberta’s generating units, these are considered “peaking units.”  The way the Power Pool is structured, the last unit to be dispatched, at whatever the price, sets the System Marginal Price for that hour.  When supply constraints arise – i.e. when units are on scheduled or unscheduled off periods – outside marketers can offer capacity at a maximum allowable of $1000/MWh and often they do to take advantage of our shortfall. </w:t>
      </w:r>
    </w:p>
    <w:p>
      <w:pPr>
        <w:pStyle w:val="Normal"/>
        <w:rPr/>
      </w:pPr>
      <w:r>
        <w:rPr/>
      </w:r>
    </w:p>
    <w:p>
      <w:pPr>
        <w:pStyle w:val="Normal"/>
        <w:numPr>
          <w:ilvl w:val="0"/>
          <w:numId w:val="11"/>
        </w:numPr>
        <w:rPr/>
      </w:pPr>
      <w:r>
        <w:rPr/>
        <w:t xml:space="preserve">Alberta is not easily connected to other supply sources.  With California and other U.S. markets in the grid setting prices at U.S. $300 - $500/MWh, most suppliers attempt to sell there.  Alberta’s market is constrained with a 600MW tie line to B.C.  It is estimated that B.C. Hydro’s marketing arm, Powerex, has earned $50 million in its sales to Alberta alone last year.  That number could well double this year. </w:t>
      </w:r>
    </w:p>
    <w:p>
      <w:pPr>
        <w:pStyle w:val="Normal"/>
        <w:rPr/>
      </w:pPr>
      <w:r>
        <w:rPr/>
      </w:r>
    </w:p>
    <w:p>
      <w:pPr>
        <w:pStyle w:val="Normal"/>
        <w:numPr>
          <w:ilvl w:val="0"/>
          <w:numId w:val="13"/>
        </w:numPr>
        <w:rPr/>
      </w:pPr>
      <w:r>
        <w:rPr/>
        <w:t xml:space="preserve">An interesting challenge faced by Alberta industrial customers when calling for price protection, is that organizations such as IPCAA were leading champions of deregulation.  They saw the benefits of reducing costs associating with the elimination of regulatory procedures and the need to create competition to the three utility providers as strong arguments to lobby for change.  It is also important to appreciate that prior to deregulation, the Alberta marketplace was replete with cross subsidization.  Residential customers subsidized industrial customers and southern Alberta subsidized the north through postage stamp rate designs.  Industrial customers were beneficiaries of these arrangements. </w:t>
      </w:r>
    </w:p>
    <w:p>
      <w:pPr>
        <w:pStyle w:val="Normal"/>
        <w:rPr/>
      </w:pPr>
      <w:r>
        <w:rPr/>
      </w:r>
    </w:p>
    <w:p>
      <w:pPr>
        <w:pStyle w:val="Normal"/>
        <w:numPr>
          <w:ilvl w:val="0"/>
          <w:numId w:val="9"/>
        </w:numPr>
        <w:rPr>
          <w:b/>
        </w:rPr>
      </w:pPr>
      <w:r>
        <w:rPr/>
        <w:t xml:space="preserve">With Pool prices being this volatile (some have suggested that Alberta electricity is the most volatile commodity in North America), many industrial consumers are exploring self-generation.  Those who have generation capacity now are likely finding far greater returns than they could have imagined as Pool prices reach all time highs.  Until more capacity comes on stream, prices will remain high. </w:t>
      </w:r>
    </w:p>
    <w:p>
      <w:pPr>
        <w:pStyle w:val="Normal"/>
        <w:rPr>
          <w:b/>
        </w:rPr>
      </w:pPr>
      <w:r>
        <w:rPr>
          <w:b/>
        </w:rPr>
      </w:r>
    </w:p>
    <w:p>
      <w:pPr>
        <w:pStyle w:val="Heading3"/>
        <w:ind w:hanging="0" w:start="0"/>
        <w:rPr/>
      </w:pPr>
      <w:r>
        <w:rPr/>
        <w:t>Next Steps</w:t>
      </w:r>
    </w:p>
    <w:p>
      <w:pPr>
        <w:pStyle w:val="Normal"/>
        <w:rPr/>
      </w:pPr>
      <w:r>
        <w:rPr/>
      </w:r>
    </w:p>
    <w:p>
      <w:pPr>
        <w:pStyle w:val="Normal"/>
        <w:rPr/>
      </w:pPr>
      <w:r>
        <w:rPr/>
        <w:t>There are two key steps yet to unfold which will further condition the results of the deregulation process:</w:t>
      </w:r>
    </w:p>
    <w:p>
      <w:pPr>
        <w:pStyle w:val="Normal"/>
        <w:rPr/>
      </w:pPr>
      <w:r>
        <w:rPr/>
        <w:t xml:space="preserve">. </w:t>
      </w:r>
    </w:p>
    <w:p>
      <w:pPr>
        <w:pStyle w:val="Normal"/>
        <w:numPr>
          <w:ilvl w:val="0"/>
          <w:numId w:val="14"/>
        </w:numPr>
        <w:rPr/>
      </w:pPr>
      <w:r>
        <w:rPr>
          <w:b/>
        </w:rPr>
        <w:t>Allocation of Balancing Pool dividends</w:t>
      </w:r>
      <w:r>
        <w:rPr/>
        <w:t xml:space="preserve"> - In September, the government is expected to announce how the $1.1 billion Auction proceeds are to be divided between industrial and residential customers.  There will likely be a scramble between the industrial and residential consumer groups to ensure that the government reflects their competing interests in that decision. </w:t>
        <w:br/>
      </w:r>
    </w:p>
    <w:p>
      <w:pPr>
        <w:pStyle w:val="Normal"/>
        <w:numPr>
          <w:ilvl w:val="0"/>
          <w:numId w:val="14"/>
        </w:numPr>
        <w:rPr/>
      </w:pPr>
      <w:r>
        <w:rPr>
          <w:b/>
        </w:rPr>
        <w:t>Process of marketing PPA capacity</w:t>
      </w:r>
      <w:r>
        <w:rPr/>
        <w:t xml:space="preserve"> – The five new marketers will be competing to secure customers based on the capacity that they now have to sell.  At the August 24, 2000 Post-Auction news conference, EPCOR announced that it had secured four industrial customers conditional upon its winning the rights to a PPA.  Such activity among the five will continue in earnest in the months to come and may provide the competitive downward pressure on prices that the government has sought through deregulation, albeit perhaps limited due to the cost constraints faced by the market as indicated before.</w:t>
      </w:r>
    </w:p>
    <w:p>
      <w:pPr>
        <w:pStyle w:val="Normal"/>
        <w:rPr/>
      </w:pPr>
      <w:r>
        <w:rPr/>
        <w:t xml:space="preserve"> </w:t>
      </w:r>
    </w:p>
    <w:p>
      <w:pPr>
        <w:pStyle w:val="Header"/>
        <w:tabs>
          <w:tab w:val="clear" w:pos="4320"/>
          <w:tab w:val="clear" w:pos="8640"/>
        </w:tabs>
        <w:rPr>
          <w:b/>
        </w:rPr>
      </w:pPr>
      <w:r>
        <w:rPr>
          <w:b/>
        </w:rPr>
        <w:t>Analysis</w:t>
      </w:r>
    </w:p>
    <w:p>
      <w:pPr>
        <w:pStyle w:val="Normal"/>
        <w:rPr>
          <w:b/>
        </w:rPr>
      </w:pPr>
      <w:r>
        <w:rPr>
          <w:b/>
        </w:rPr>
      </w:r>
    </w:p>
    <w:p>
      <w:pPr>
        <w:pStyle w:val="Normal"/>
        <w:rPr/>
      </w:pPr>
      <w:r>
        <w:rPr/>
        <w:t>This has been a controversial and complicated process from the start.  It also mired in diametrically opposed interests between utilities, their customers, outside marketers and new power producers.  The government has attempted to steer a prudent course between them.  In the case of any consumer / utility struggle, there is a “zero sum” game as involved as both sides are debating for their size of the pie, with each increase coming at the expense of the other.</w:t>
      </w:r>
    </w:p>
    <w:p>
      <w:pPr>
        <w:pStyle w:val="Normal"/>
        <w:rPr/>
      </w:pPr>
      <w:r>
        <w:rPr/>
        <w:t xml:space="preserve"> </w:t>
      </w:r>
    </w:p>
    <w:p>
      <w:pPr>
        <w:pStyle w:val="Normal"/>
        <w:rPr/>
      </w:pPr>
      <w:r>
        <w:rPr/>
        <w:t xml:space="preserve">The media coverage of the Auction has quoted some parties declaring it a success and others a dismal failure.  The complicated nature of the process, the very real political costs at stake, and the unpredictable nature of prices in the future mean that no one party’s conclusions on the process can be judged at this time.  </w:t>
      </w:r>
    </w:p>
    <w:p>
      <w:pPr>
        <w:pStyle w:val="Normal"/>
        <w:rPr/>
      </w:pPr>
      <w:r>
        <w:rPr/>
      </w:r>
    </w:p>
    <w:p>
      <w:pPr>
        <w:pStyle w:val="Normal"/>
        <w:rPr/>
      </w:pPr>
      <w:r>
        <w:rPr/>
        <w:t>There are however some truths:</w:t>
      </w:r>
    </w:p>
    <w:p>
      <w:pPr>
        <w:pStyle w:val="Normal"/>
        <w:rPr/>
      </w:pPr>
      <w:r>
        <w:rPr/>
      </w:r>
    </w:p>
    <w:p>
      <w:pPr>
        <w:pStyle w:val="Normal"/>
        <w:numPr>
          <w:ilvl w:val="0"/>
          <w:numId w:val="8"/>
        </w:numPr>
        <w:rPr/>
      </w:pPr>
      <w:r>
        <w:rPr/>
        <w:t xml:space="preserve">The deregulation of Alberta’s electricity industry is complete.  </w:t>
      </w:r>
    </w:p>
    <w:p>
      <w:pPr>
        <w:pStyle w:val="Normal"/>
        <w:numPr>
          <w:ilvl w:val="0"/>
          <w:numId w:val="8"/>
        </w:numPr>
        <w:rPr/>
      </w:pPr>
      <w:r>
        <w:rPr/>
        <w:t xml:space="preserve">The market will react as consumers and marketers seek to find advantage. </w:t>
      </w:r>
    </w:p>
    <w:p>
      <w:pPr>
        <w:pStyle w:val="Normal"/>
        <w:numPr>
          <w:ilvl w:val="0"/>
          <w:numId w:val="8"/>
        </w:numPr>
        <w:rPr/>
      </w:pPr>
      <w:r>
        <w:rPr/>
        <w:t xml:space="preserve">Prices of electricity will continue to rise until demand and supply are met. </w:t>
      </w:r>
    </w:p>
    <w:p>
      <w:pPr>
        <w:pStyle w:val="Normal"/>
        <w:numPr>
          <w:ilvl w:val="0"/>
          <w:numId w:val="8"/>
        </w:numPr>
        <w:rPr/>
      </w:pPr>
      <w:r>
        <w:rPr/>
        <w:t xml:space="preserve">The government, and Minister Cardinal in particular, will remain preoccupied with the details of deregulation as customer choice is introduced in January 1, 2001. </w:t>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2880" w:right="720" w:gutter="0" w:header="2520" w:top="324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Privileged &amp; Confidential</w:t>
    </w:r>
  </w:p>
  <w:p>
    <w:pPr>
      <w:pStyle w:val="Footer"/>
      <w:rPr/>
    </w:pPr>
    <w:r>
      <w:rPr/>
      <w:t>For Legal Counsel Use Only</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0" distT="0" distB="0" distL="0" distR="0" simplePos="0" locked="0" layoutInCell="0" allowOverlap="1" relativeHeight="11">
              <wp:simplePos x="0" y="0"/>
              <wp:positionH relativeFrom="page">
                <wp:posOffset>1829435</wp:posOffset>
              </wp:positionH>
              <wp:positionV relativeFrom="page">
                <wp:posOffset>788035</wp:posOffset>
              </wp:positionV>
              <wp:extent cx="2469515" cy="127000"/>
              <wp:effectExtent l="0" t="0" r="0" b="0"/>
              <wp:wrapSquare wrapText="bothSides"/>
              <wp:docPr id="1" name="Frame5"/>
              <a:graphic xmlns:a="http://schemas.openxmlformats.org/drawingml/2006/main">
                <a:graphicData uri="http://schemas.microsoft.com/office/word/2010/wordprocessingShape">
                  <wps:wsp>
                    <wps:cNvSpPr txBox="1"/>
                    <wps:spPr>
                      <a:xfrm>
                        <a:off x="0" y="0"/>
                        <a:ext cx="2469515" cy="127000"/>
                      </a:xfrm>
                      <a:prstGeom prst="rect"/>
                      <a:solidFill>
                        <a:srgbClr val="FFFFFF">
                          <a:alpha val="0"/>
                        </a:srgbClr>
                      </a:solidFill>
                    </wps:spPr>
                    <wps:txbx>
                      <w:txbxContent>
                        <w:p>
                          <w:pPr>
                            <w:pStyle w:val="Normal"/>
                            <w:spacing w:lineRule="exact" w:line="200"/>
                            <w:rPr>
                              <w:rFonts w:ascii="Arial Black" w:hAnsi="Arial Black" w:cs="Arial Black"/>
                              <w:sz w:val="20"/>
                            </w:rPr>
                          </w:pPr>
                          <w:r>
                            <w:rPr>
                              <w:rFonts w:cs="Arial Black" w:ascii="Arial Black" w:hAnsi="Arial Black"/>
                              <w:sz w:val="20"/>
                            </w:rPr>
                            <w:t>GPC Canada</w:t>
                          </w:r>
                        </w:p>
                      </w:txbxContent>
                    </wps:txbx>
                    <wps:bodyPr anchor="t" lIns="0" tIns="0" rIns="0" bIns="0">
                      <a:noAutofit/>
                    </wps:bodyPr>
                  </wps:wsp>
                </a:graphicData>
              </a:graphic>
            </wp:anchor>
          </w:drawing>
        </mc:Choice>
        <mc:Fallback>
          <w:pict>
            <v:rect fillcolor="#FFFFFF" style="position:absolute;rotation:-0;width:194.45pt;height:10pt;mso-wrap-distance-left:0pt;mso-wrap-distance-right:0pt;mso-wrap-distance-top:0pt;mso-wrap-distance-bottom:0pt;margin-top:62.05pt;mso-position-vertical-relative:page;margin-left:144.05pt;mso-position-horizontal-relative:page">
              <v:fill opacity="0f"/>
              <v:textbox inset="0in,0in,0in,0in">
                <w:txbxContent>
                  <w:p>
                    <w:pPr>
                      <w:pStyle w:val="Normal"/>
                      <w:spacing w:lineRule="exact" w:line="200"/>
                      <w:rPr>
                        <w:rFonts w:ascii="Arial Black" w:hAnsi="Arial Black" w:cs="Arial Black"/>
                        <w:sz w:val="20"/>
                      </w:rPr>
                    </w:pPr>
                    <w:r>
                      <w:rPr>
                        <w:rFonts w:cs="Arial Black" w:ascii="Arial Black" w:hAnsi="Arial Black"/>
                        <w:sz w:val="20"/>
                      </w:rPr>
                      <w:t>GPC Canada</w:t>
                    </w:r>
                  </w:p>
                </w:txbxContent>
              </v:textbox>
              <w10:wrap type="square"/>
            </v:rect>
          </w:pict>
        </mc:Fallback>
      </mc:AlternateContent>
    </w:r>
    <w:r>
      <mc:AlternateContent>
        <mc:Choice Requires="wps">
          <w:drawing>
            <wp:anchor behindDoc="1" distT="0" distB="0" distL="114935" distR="114935" simplePos="0" locked="0" layoutInCell="0" allowOverlap="1" relativeHeight="17">
              <wp:simplePos x="0" y="0"/>
              <wp:positionH relativeFrom="page">
                <wp:posOffset>6629400</wp:posOffset>
              </wp:positionH>
              <wp:positionV relativeFrom="page">
                <wp:posOffset>786130</wp:posOffset>
              </wp:positionV>
              <wp:extent cx="457200" cy="228600"/>
              <wp:effectExtent l="0" t="0" r="0" b="0"/>
              <wp:wrapNone/>
              <wp:docPr id="2" name="Frame6"/>
              <a:graphic xmlns:a="http://schemas.openxmlformats.org/drawingml/2006/main">
                <a:graphicData uri="http://schemas.microsoft.com/office/word/2010/wordprocessingShape">
                  <wps:wsp>
                    <wps:cNvSpPr txBox="1"/>
                    <wps:spPr>
                      <a:xfrm>
                        <a:off x="0" y="0"/>
                        <a:ext cx="457200" cy="228600"/>
                      </a:xfrm>
                      <a:prstGeom prst="rect"/>
                      <a:solidFill>
                        <a:srgbClr val="FFFFFF">
                          <a:alpha val="0"/>
                        </a:srgbClr>
                      </a:solidFill>
                    </wps:spPr>
                    <wps:txbx>
                      <w:txbxContent>
                        <w:p>
                          <w:pPr>
                            <w:pStyle w:val="Normal"/>
                            <w:spacing w:lineRule="exact" w:line="26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36pt;height:18pt;mso-wrap-distance-left:9.05pt;mso-wrap-distance-right:9.05pt;mso-wrap-distance-top:0pt;mso-wrap-distance-bottom:0pt;margin-top:61.9pt;mso-position-vertical-relative:page;margin-left:522pt;mso-position-horizontal-relative:page">
              <v:fill opacity="0f"/>
              <v:textbox inset="0.000694444444444445in,0.000694444444444445in,0.000694444444444445in,0.000694444444444445in">
                <w:txbxContent>
                  <w:p>
                    <w:pPr>
                      <w:pStyle w:val="Normal"/>
                      <w:spacing w:lineRule="exact" w:line="26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2">
              <wp:simplePos x="0" y="0"/>
              <wp:positionH relativeFrom="page">
                <wp:posOffset>1829435</wp:posOffset>
              </wp:positionH>
              <wp:positionV relativeFrom="page">
                <wp:posOffset>788035</wp:posOffset>
              </wp:positionV>
              <wp:extent cx="2469515" cy="127000"/>
              <wp:effectExtent l="0" t="0" r="0" b="0"/>
              <wp:wrapSquare wrapText="bothSides"/>
              <wp:docPr id="3" name="Frame1"/>
              <a:graphic xmlns:a="http://schemas.openxmlformats.org/drawingml/2006/main">
                <a:graphicData uri="http://schemas.microsoft.com/office/word/2010/wordprocessingShape">
                  <wps:wsp>
                    <wps:cNvSpPr txBox="1"/>
                    <wps:spPr>
                      <a:xfrm>
                        <a:off x="0" y="0"/>
                        <a:ext cx="2469515" cy="127000"/>
                      </a:xfrm>
                      <a:prstGeom prst="rect"/>
                      <a:solidFill>
                        <a:srgbClr val="FFFFFF">
                          <a:alpha val="0"/>
                        </a:srgbClr>
                      </a:solidFill>
                    </wps:spPr>
                    <wps:txbx>
                      <w:txbxContent>
                        <w:p>
                          <w:pPr>
                            <w:pStyle w:val="Normal"/>
                            <w:spacing w:lineRule="exact" w:line="200"/>
                            <w:rPr>
                              <w:rFonts w:ascii="Arial Black" w:hAnsi="Arial Black" w:cs="Arial Black"/>
                              <w:sz w:val="20"/>
                            </w:rPr>
                          </w:pPr>
                          <w:r>
                            <w:rPr>
                              <w:rFonts w:cs="Arial Black" w:ascii="Arial Black" w:hAnsi="Arial Black"/>
                              <w:sz w:val="20"/>
                            </w:rPr>
                            <w:t>GPC Canada</w:t>
                          </w:r>
                        </w:p>
                      </w:txbxContent>
                    </wps:txbx>
                    <wps:bodyPr anchor="t" lIns="0" tIns="0" rIns="0" bIns="0">
                      <a:noAutofit/>
                    </wps:bodyPr>
                  </wps:wsp>
                </a:graphicData>
              </a:graphic>
            </wp:anchor>
          </w:drawing>
        </mc:Choice>
        <mc:Fallback>
          <w:pict>
            <v:rect fillcolor="#FFFFFF" style="position:absolute;rotation:-0;width:194.45pt;height:10pt;mso-wrap-distance-left:0pt;mso-wrap-distance-right:0pt;mso-wrap-distance-top:0pt;mso-wrap-distance-bottom:0pt;margin-top:62.05pt;mso-position-vertical-relative:page;margin-left:144.05pt;mso-position-horizontal-relative:page">
              <v:fill opacity="0f"/>
              <v:textbox inset="0in,0in,0in,0in">
                <w:txbxContent>
                  <w:p>
                    <w:pPr>
                      <w:pStyle w:val="Normal"/>
                      <w:spacing w:lineRule="exact" w:line="200"/>
                      <w:rPr>
                        <w:rFonts w:ascii="Arial Black" w:hAnsi="Arial Black" w:cs="Arial Black"/>
                        <w:sz w:val="20"/>
                      </w:rPr>
                    </w:pPr>
                    <w:r>
                      <w:rPr>
                        <w:rFonts w:cs="Arial Black" w:ascii="Arial Black" w:hAnsi="Arial Black"/>
                        <w:sz w:val="20"/>
                      </w:rPr>
                      <w:t>GPC Canada</w:t>
                    </w:r>
                  </w:p>
                </w:txbxContent>
              </v:textbox>
              <w10:wrap type="square"/>
            </v:rect>
          </w:pict>
        </mc:Fallback>
      </mc:AlternateContent>
    </w:r>
    <w:r>
      <mc:AlternateContent>
        <mc:Choice Requires="wps">
          <w:drawing>
            <wp:anchor behindDoc="0" distT="118745" distB="118745" distL="118745" distR="118745" simplePos="0" locked="0" layoutInCell="0" allowOverlap="1" relativeHeight="3">
              <wp:simplePos x="0" y="0"/>
              <wp:positionH relativeFrom="page">
                <wp:posOffset>4874260</wp:posOffset>
              </wp:positionH>
              <wp:positionV relativeFrom="page">
                <wp:posOffset>786765</wp:posOffset>
              </wp:positionV>
              <wp:extent cx="1261745" cy="508000"/>
              <wp:effectExtent l="0" t="0" r="0" b="0"/>
              <wp:wrapSquare wrapText="bothSides"/>
              <wp:docPr id="4" name="Frame2"/>
              <a:graphic xmlns:a="http://schemas.openxmlformats.org/drawingml/2006/main">
                <a:graphicData uri="http://schemas.microsoft.com/office/word/2010/wordprocessingShape">
                  <wps:wsp>
                    <wps:cNvSpPr txBox="1"/>
                    <wps:spPr>
                      <a:xfrm>
                        <a:off x="0" y="0"/>
                        <a:ext cx="1261745" cy="508000"/>
                      </a:xfrm>
                      <a:prstGeom prst="rect"/>
                      <a:solidFill>
                        <a:srgbClr val="FFFFFF">
                          <a:alpha val="0"/>
                        </a:srgbClr>
                      </a:solidFill>
                    </wps:spPr>
                    <wps:txbx>
                      <w:txbxContent>
                        <w:p>
                          <w:pPr>
                            <w:pStyle w:val="Normal"/>
                            <w:spacing w:lineRule="exact" w:line="200"/>
                            <w:rPr>
                              <w:sz w:val="18"/>
                            </w:rPr>
                          </w:pPr>
                          <w:r>
                            <w:rPr>
                              <w:sz w:val="18"/>
                            </w:rPr>
                            <w:t>200 King Street West</w:t>
                          </w:r>
                        </w:p>
                        <w:p>
                          <w:pPr>
                            <w:pStyle w:val="Normal"/>
                            <w:spacing w:lineRule="exact" w:line="200"/>
                            <w:rPr>
                              <w:sz w:val="18"/>
                            </w:rPr>
                          </w:pPr>
                          <w:r>
                            <w:rPr>
                              <w:sz w:val="18"/>
                            </w:rPr>
                            <w:t>Suite 1702, Box 21</w:t>
                          </w:r>
                        </w:p>
                        <w:p>
                          <w:pPr>
                            <w:pStyle w:val="Normal"/>
                            <w:spacing w:lineRule="exact" w:line="200"/>
                            <w:rPr>
                              <w:sz w:val="18"/>
                            </w:rPr>
                          </w:pPr>
                          <w:r>
                            <w:rPr>
                              <w:sz w:val="18"/>
                            </w:rPr>
                            <w:t>Toronto</w:t>
                          </w:r>
                        </w:p>
                        <w:p>
                          <w:pPr>
                            <w:pStyle w:val="Normal"/>
                            <w:spacing w:lineRule="exact" w:line="200"/>
                            <w:rPr>
                              <w:sz w:val="18"/>
                            </w:rPr>
                          </w:pPr>
                          <w:r>
                            <w:rPr>
                              <w:sz w:val="18"/>
                            </w:rPr>
                            <w:t>Canada  M5H 3T4</w:t>
                          </w:r>
                        </w:p>
                      </w:txbxContent>
                    </wps:txbx>
                    <wps:bodyPr anchor="t" lIns="0" tIns="0" rIns="0" bIns="0">
                      <a:noAutofit/>
                    </wps:bodyPr>
                  </wps:wsp>
                </a:graphicData>
              </a:graphic>
            </wp:anchor>
          </w:drawing>
        </mc:Choice>
        <mc:Fallback>
          <w:pict>
            <v:rect fillcolor="#FFFFFF" style="position:absolute;rotation:-0;width:99.35pt;height:40pt;mso-wrap-distance-left:9.35pt;mso-wrap-distance-right:9.35pt;mso-wrap-distance-top:9.35pt;mso-wrap-distance-bottom:9.35pt;margin-top:61.95pt;mso-position-vertical-relative:page;margin-left:383.8pt;mso-position-horizontal-relative:page">
              <v:fill opacity="0f"/>
              <v:textbox inset="0in,0in,0in,0in">
                <w:txbxContent>
                  <w:p>
                    <w:pPr>
                      <w:pStyle w:val="Normal"/>
                      <w:spacing w:lineRule="exact" w:line="200"/>
                      <w:rPr>
                        <w:sz w:val="18"/>
                      </w:rPr>
                    </w:pPr>
                    <w:r>
                      <w:rPr>
                        <w:sz w:val="18"/>
                      </w:rPr>
                      <w:t>200 King Street West</w:t>
                    </w:r>
                  </w:p>
                  <w:p>
                    <w:pPr>
                      <w:pStyle w:val="Normal"/>
                      <w:spacing w:lineRule="exact" w:line="200"/>
                      <w:rPr>
                        <w:sz w:val="18"/>
                      </w:rPr>
                    </w:pPr>
                    <w:r>
                      <w:rPr>
                        <w:sz w:val="18"/>
                      </w:rPr>
                      <w:t>Suite 1702, Box 21</w:t>
                    </w:r>
                  </w:p>
                  <w:p>
                    <w:pPr>
                      <w:pStyle w:val="Normal"/>
                      <w:spacing w:lineRule="exact" w:line="200"/>
                      <w:rPr>
                        <w:sz w:val="18"/>
                      </w:rPr>
                    </w:pPr>
                    <w:r>
                      <w:rPr>
                        <w:sz w:val="18"/>
                      </w:rPr>
                      <w:t>Toronto</w:t>
                    </w:r>
                  </w:p>
                  <w:p>
                    <w:pPr>
                      <w:pStyle w:val="Normal"/>
                      <w:spacing w:lineRule="exact" w:line="200"/>
                      <w:rPr>
                        <w:sz w:val="18"/>
                      </w:rPr>
                    </w:pPr>
                    <w:r>
                      <w:rPr>
                        <w:sz w:val="18"/>
                      </w:rPr>
                      <w:t>Canada  M5H 3T4</w:t>
                    </w:r>
                  </w:p>
                </w:txbxContent>
              </v:textbox>
              <w10:wrap type="square"/>
            </v:rect>
          </w:pict>
        </mc:Fallback>
      </mc:AlternateContent>
    </w:r>
    <w:r>
      <mc:AlternateContent>
        <mc:Choice Requires="wps">
          <w:drawing>
            <wp:anchor behindDoc="0" distT="118745" distB="118745" distL="118745" distR="118745" simplePos="0" locked="0" layoutInCell="0" allowOverlap="1" relativeHeight="4">
              <wp:simplePos x="0" y="0"/>
              <wp:positionH relativeFrom="page">
                <wp:posOffset>6127115</wp:posOffset>
              </wp:positionH>
              <wp:positionV relativeFrom="page">
                <wp:posOffset>786765</wp:posOffset>
              </wp:positionV>
              <wp:extent cx="1362710" cy="381000"/>
              <wp:effectExtent l="0" t="0" r="0" b="0"/>
              <wp:wrapSquare wrapText="bothSides"/>
              <wp:docPr id="5" name="Frame3"/>
              <a:graphic xmlns:a="http://schemas.openxmlformats.org/drawingml/2006/main">
                <a:graphicData uri="http://schemas.microsoft.com/office/word/2010/wordprocessingShape">
                  <wps:wsp>
                    <wps:cNvSpPr txBox="1"/>
                    <wps:spPr>
                      <a:xfrm>
                        <a:off x="0" y="0"/>
                        <a:ext cx="1362710" cy="381000"/>
                      </a:xfrm>
                      <a:prstGeom prst="rect"/>
                      <a:solidFill>
                        <a:srgbClr val="FFFFFF">
                          <a:alpha val="0"/>
                        </a:srgbClr>
                      </a:solidFill>
                    </wps:spPr>
                    <wps:txbx>
                      <w:txbxContent>
                        <w:p>
                          <w:pPr>
                            <w:pStyle w:val="Normal"/>
                            <w:spacing w:lineRule="exact" w:line="200"/>
                            <w:rPr>
                              <w:sz w:val="18"/>
                            </w:rPr>
                          </w:pPr>
                          <w:r>
                            <w:rPr>
                              <w:sz w:val="18"/>
                            </w:rPr>
                            <w:t>Tel 416 598 0055</w:t>
                          </w:r>
                        </w:p>
                        <w:p>
                          <w:pPr>
                            <w:pStyle w:val="Normal"/>
                            <w:spacing w:lineRule="exact" w:line="200"/>
                            <w:rPr/>
                          </w:pPr>
                          <w:r>
                            <w:rPr>
                              <w:spacing w:val="-30"/>
                              <w:sz w:val="18"/>
                            </w:rPr>
                            <w:t xml:space="preserve"> </w:t>
                          </w:r>
                          <w:r>
                            <w:rPr>
                              <w:sz w:val="18"/>
                            </w:rPr>
                            <w:t>Fax 416 598 7956</w:t>
                          </w:r>
                        </w:p>
                        <w:p>
                          <w:pPr>
                            <w:pStyle w:val="Normal"/>
                            <w:spacing w:lineRule="exact" w:line="200"/>
                            <w:rPr/>
                          </w:pPr>
                          <w:r>
                            <w:rPr>
                              <w:spacing w:val="-20"/>
                              <w:sz w:val="18"/>
                            </w:rPr>
                            <w:t xml:space="preserve"> </w:t>
                          </w:r>
                          <w:r>
                            <w:rPr>
                              <w:sz w:val="18"/>
                            </w:rPr>
                            <w:t>www.gpcinternational.com</w:t>
                          </w:r>
                        </w:p>
                      </w:txbxContent>
                    </wps:txbx>
                    <wps:bodyPr anchor="t" lIns="0" tIns="0" rIns="0" bIns="0">
                      <a:noAutofit/>
                    </wps:bodyPr>
                  </wps:wsp>
                </a:graphicData>
              </a:graphic>
            </wp:anchor>
          </w:drawing>
        </mc:Choice>
        <mc:Fallback>
          <w:pict>
            <v:rect fillcolor="#FFFFFF" style="position:absolute;rotation:-0;width:107.3pt;height:30pt;mso-wrap-distance-left:9.35pt;mso-wrap-distance-right:9.35pt;mso-wrap-distance-top:9.35pt;mso-wrap-distance-bottom:9.35pt;margin-top:61.95pt;mso-position-vertical-relative:page;margin-left:482.45pt;mso-position-horizontal-relative:page">
              <v:fill opacity="0f"/>
              <v:textbox inset="0in,0in,0in,0in">
                <w:txbxContent>
                  <w:p>
                    <w:pPr>
                      <w:pStyle w:val="Normal"/>
                      <w:spacing w:lineRule="exact" w:line="200"/>
                      <w:rPr>
                        <w:sz w:val="18"/>
                      </w:rPr>
                    </w:pPr>
                    <w:r>
                      <w:rPr>
                        <w:sz w:val="18"/>
                      </w:rPr>
                      <w:t>Tel 416 598 0055</w:t>
                    </w:r>
                  </w:p>
                  <w:p>
                    <w:pPr>
                      <w:pStyle w:val="Normal"/>
                      <w:spacing w:lineRule="exact" w:line="200"/>
                      <w:rPr/>
                    </w:pPr>
                    <w:r>
                      <w:rPr>
                        <w:spacing w:val="-30"/>
                        <w:sz w:val="18"/>
                      </w:rPr>
                      <w:t xml:space="preserve"> </w:t>
                    </w:r>
                    <w:r>
                      <w:rPr>
                        <w:sz w:val="18"/>
                      </w:rPr>
                      <w:t>Fax 416 598 7956</w:t>
                    </w:r>
                  </w:p>
                  <w:p>
                    <w:pPr>
                      <w:pStyle w:val="Normal"/>
                      <w:spacing w:lineRule="exact" w:line="200"/>
                      <w:rPr/>
                    </w:pPr>
                    <w:r>
                      <w:rPr>
                        <w:spacing w:val="-20"/>
                        <w:sz w:val="18"/>
                      </w:rPr>
                      <w:t xml:space="preserve"> </w:t>
                    </w:r>
                    <w:r>
                      <w:rPr>
                        <w:sz w:val="18"/>
                      </w:rPr>
                      <w:t>www.gpcinternational.com</w:t>
                    </w:r>
                  </w:p>
                </w:txbxContent>
              </v:textbox>
              <w10:wrap type="square"/>
            </v:rect>
          </w:pict>
        </mc:Fallback>
      </mc:AlternateContent>
    </w:r>
    <w:r>
      <mc:AlternateContent>
        <mc:Choice Requires="wps">
          <w:drawing>
            <wp:anchor behindDoc="0" distT="114300" distB="114300" distL="114300" distR="114300" simplePos="0" locked="0" layoutInCell="0" allowOverlap="1" relativeHeight="5">
              <wp:simplePos x="0" y="0"/>
              <wp:positionH relativeFrom="page">
                <wp:posOffset>457835</wp:posOffset>
              </wp:positionH>
              <wp:positionV relativeFrom="page">
                <wp:posOffset>5304155</wp:posOffset>
              </wp:positionV>
              <wp:extent cx="1066800" cy="3556000"/>
              <wp:effectExtent l="0" t="0" r="0" b="0"/>
              <wp:wrapSquare wrapText="bothSides"/>
              <wp:docPr id="6" name="Frame4"/>
              <a:graphic xmlns:a="http://schemas.openxmlformats.org/drawingml/2006/main">
                <a:graphicData uri="http://schemas.microsoft.com/office/word/2010/wordprocessingShape">
                  <wps:wsp>
                    <wps:cNvSpPr txBox="1"/>
                    <wps:spPr>
                      <a:xfrm>
                        <a:off x="0" y="0"/>
                        <a:ext cx="1066800" cy="3556000"/>
                      </a:xfrm>
                      <a:prstGeom prst="rect"/>
                      <a:solidFill>
                        <a:srgbClr val="FFFFFF">
                          <a:alpha val="0"/>
                        </a:srgbClr>
                      </a:solidFill>
                    </wps:spPr>
                    <wps:txbx>
                      <w:txbxContent>
                        <w:p>
                          <w:pPr>
                            <w:pStyle w:val="Normal"/>
                            <w:spacing w:lineRule="exact" w:line="400"/>
                            <w:rPr>
                              <w:sz w:val="20"/>
                              <w:lang w:val="fr-CA"/>
                            </w:rPr>
                          </w:pPr>
                          <w:r>
                            <w:rPr>
                              <w:sz w:val="20"/>
                              <w:lang w:val="fr-CA"/>
                            </w:rPr>
                            <w:t xml:space="preserve">Toronto </w:t>
                          </w:r>
                        </w:p>
                        <w:p>
                          <w:pPr>
                            <w:pStyle w:val="Normal"/>
                            <w:spacing w:lineRule="exact" w:line="400"/>
                            <w:rPr>
                              <w:sz w:val="20"/>
                              <w:lang w:val="fr-CA"/>
                            </w:rPr>
                          </w:pPr>
                          <w:r>
                            <w:rPr>
                              <w:sz w:val="20"/>
                              <w:lang w:val="fr-CA"/>
                            </w:rPr>
                            <w:t xml:space="preserve">Calgary </w:t>
                          </w:r>
                        </w:p>
                        <w:p>
                          <w:pPr>
                            <w:pStyle w:val="Normal"/>
                            <w:spacing w:lineRule="exact" w:line="400"/>
                            <w:rPr>
                              <w:sz w:val="20"/>
                              <w:lang w:val="fr-CA"/>
                            </w:rPr>
                          </w:pPr>
                          <w:r>
                            <w:rPr>
                              <w:sz w:val="20"/>
                              <w:lang w:val="fr-CA"/>
                            </w:rPr>
                            <w:t>Edmonton</w:t>
                          </w:r>
                        </w:p>
                        <w:p>
                          <w:pPr>
                            <w:pStyle w:val="Normal"/>
                            <w:spacing w:lineRule="exact" w:line="400"/>
                            <w:rPr>
                              <w:sz w:val="20"/>
                              <w:lang w:val="fr-CA"/>
                            </w:rPr>
                          </w:pPr>
                          <w:r>
                            <w:rPr>
                              <w:sz w:val="20"/>
                              <w:lang w:val="fr-CA"/>
                            </w:rPr>
                            <w:t>Montréal</w:t>
                          </w:r>
                        </w:p>
                        <w:p>
                          <w:pPr>
                            <w:pStyle w:val="Normal"/>
                            <w:spacing w:lineRule="exact" w:line="400"/>
                            <w:rPr>
                              <w:sz w:val="20"/>
                              <w:lang w:val="fr-CA"/>
                            </w:rPr>
                          </w:pPr>
                          <w:r>
                            <w:rPr>
                              <w:sz w:val="20"/>
                              <w:lang w:val="fr-CA"/>
                            </w:rPr>
                            <w:t xml:space="preserve">Ottawa </w:t>
                          </w:r>
                        </w:p>
                        <w:p>
                          <w:pPr>
                            <w:pStyle w:val="Normal"/>
                            <w:spacing w:lineRule="exact" w:line="400"/>
                            <w:rPr>
                              <w:sz w:val="20"/>
                              <w:lang w:val="fr-CA"/>
                            </w:rPr>
                          </w:pPr>
                          <w:r>
                            <w:rPr>
                              <w:sz w:val="20"/>
                              <w:lang w:val="fr-CA"/>
                            </w:rPr>
                            <w:t>Québec</w:t>
                          </w:r>
                        </w:p>
                        <w:p>
                          <w:pPr>
                            <w:pStyle w:val="Normal"/>
                            <w:spacing w:lineRule="exact" w:line="400"/>
                            <w:rPr>
                              <w:sz w:val="20"/>
                              <w:lang w:val="fr-CA"/>
                            </w:rPr>
                          </w:pPr>
                          <w:r>
                            <w:rPr>
                              <w:sz w:val="20"/>
                              <w:lang w:val="fr-CA"/>
                            </w:rPr>
                            <w:t>Vancouver</w:t>
                          </w:r>
                        </w:p>
                        <w:p>
                          <w:pPr>
                            <w:pStyle w:val="Normal"/>
                            <w:spacing w:lineRule="exact" w:line="400"/>
                            <w:rPr>
                              <w:sz w:val="20"/>
                              <w:lang w:val="fr-CA"/>
                            </w:rPr>
                          </w:pPr>
                          <w:r>
                            <w:rPr>
                              <w:sz w:val="20"/>
                              <w:lang w:val="fr-CA"/>
                            </w:rPr>
                            <w:t>Victoria</w:t>
                          </w:r>
                        </w:p>
                        <w:p>
                          <w:pPr>
                            <w:pStyle w:val="Normal"/>
                            <w:spacing w:lineRule="exact" w:line="400"/>
                            <w:rPr>
                              <w:sz w:val="20"/>
                              <w:lang w:val="fr-CA"/>
                            </w:rPr>
                          </w:pPr>
                          <w:r>
                            <w:rPr>
                              <w:sz w:val="20"/>
                              <w:lang w:val="fr-CA"/>
                            </w:rPr>
                            <w:t>Boston</w:t>
                          </w:r>
                        </w:p>
                        <w:p>
                          <w:pPr>
                            <w:pStyle w:val="Normal"/>
                            <w:spacing w:lineRule="exact" w:line="400"/>
                            <w:rPr>
                              <w:sz w:val="20"/>
                              <w:lang w:val="fr-CA"/>
                            </w:rPr>
                          </w:pPr>
                          <w:r>
                            <w:rPr>
                              <w:sz w:val="20"/>
                              <w:lang w:val="fr-CA"/>
                            </w:rPr>
                            <w:t>Providence</w:t>
                          </w:r>
                        </w:p>
                        <w:p>
                          <w:pPr>
                            <w:pStyle w:val="Normal"/>
                            <w:spacing w:lineRule="exact" w:line="400"/>
                            <w:rPr>
                              <w:sz w:val="20"/>
                              <w:lang w:val="fr-CA"/>
                            </w:rPr>
                          </w:pPr>
                          <w:r>
                            <w:rPr>
                              <w:sz w:val="20"/>
                              <w:lang w:val="fr-CA"/>
                            </w:rPr>
                            <w:t>Washington, D.C.</w:t>
                          </w:r>
                        </w:p>
                        <w:p>
                          <w:pPr>
                            <w:pStyle w:val="Normal"/>
                            <w:spacing w:lineRule="exact" w:line="400"/>
                            <w:rPr>
                              <w:sz w:val="20"/>
                              <w:lang w:val="fr-CA"/>
                            </w:rPr>
                          </w:pPr>
                          <w:r>
                            <w:rPr>
                              <w:sz w:val="20"/>
                              <w:lang w:val="fr-CA"/>
                            </w:rPr>
                            <w:t>Brussels</w:t>
                          </w:r>
                        </w:p>
                        <w:p>
                          <w:pPr>
                            <w:pStyle w:val="Normal"/>
                            <w:spacing w:lineRule="exact" w:line="400"/>
                            <w:rPr>
                              <w:sz w:val="20"/>
                              <w:lang w:val="fr-CA"/>
                            </w:rPr>
                          </w:pPr>
                          <w:r>
                            <w:rPr>
                              <w:sz w:val="20"/>
                              <w:lang w:val="fr-CA"/>
                            </w:rPr>
                            <w:t>London</w:t>
                          </w:r>
                        </w:p>
                        <w:p>
                          <w:pPr>
                            <w:pStyle w:val="Normal"/>
                            <w:spacing w:lineRule="exact" w:line="400"/>
                            <w:rPr>
                              <w:sz w:val="20"/>
                            </w:rPr>
                          </w:pPr>
                          <w:r>
                            <w:rPr>
                              <w:sz w:val="20"/>
                              <w:lang w:val="fr-CA"/>
                            </w:rPr>
                            <w:t>Edinburgh</w:t>
                          </w:r>
                        </w:p>
                      </w:txbxContent>
                    </wps:txbx>
                    <wps:bodyPr anchor="t" lIns="0" tIns="0" rIns="0" bIns="0">
                      <a:noAutofit/>
                    </wps:bodyPr>
                  </wps:wsp>
                </a:graphicData>
              </a:graphic>
            </wp:anchor>
          </w:drawing>
        </mc:Choice>
        <mc:Fallback>
          <w:pict>
            <v:rect fillcolor="#FFFFFF" style="position:absolute;rotation:-0;width:84pt;height:280pt;mso-wrap-distance-left:9pt;mso-wrap-distance-right:9pt;mso-wrap-distance-top:9pt;mso-wrap-distance-bottom:9pt;margin-top:417.65pt;mso-position-vertical-relative:page;margin-left:36.05pt;mso-position-horizontal-relative:page">
              <v:fill opacity="0f"/>
              <v:textbox inset="0in,0in,0in,0in">
                <w:txbxContent>
                  <w:p>
                    <w:pPr>
                      <w:pStyle w:val="Normal"/>
                      <w:spacing w:lineRule="exact" w:line="400"/>
                      <w:rPr>
                        <w:sz w:val="20"/>
                        <w:lang w:val="fr-CA"/>
                      </w:rPr>
                    </w:pPr>
                    <w:r>
                      <w:rPr>
                        <w:sz w:val="20"/>
                        <w:lang w:val="fr-CA"/>
                      </w:rPr>
                      <w:t xml:space="preserve">Toronto </w:t>
                    </w:r>
                  </w:p>
                  <w:p>
                    <w:pPr>
                      <w:pStyle w:val="Normal"/>
                      <w:spacing w:lineRule="exact" w:line="400"/>
                      <w:rPr>
                        <w:sz w:val="20"/>
                        <w:lang w:val="fr-CA"/>
                      </w:rPr>
                    </w:pPr>
                    <w:r>
                      <w:rPr>
                        <w:sz w:val="20"/>
                        <w:lang w:val="fr-CA"/>
                      </w:rPr>
                      <w:t xml:space="preserve">Calgary </w:t>
                    </w:r>
                  </w:p>
                  <w:p>
                    <w:pPr>
                      <w:pStyle w:val="Normal"/>
                      <w:spacing w:lineRule="exact" w:line="400"/>
                      <w:rPr>
                        <w:sz w:val="20"/>
                        <w:lang w:val="fr-CA"/>
                      </w:rPr>
                    </w:pPr>
                    <w:r>
                      <w:rPr>
                        <w:sz w:val="20"/>
                        <w:lang w:val="fr-CA"/>
                      </w:rPr>
                      <w:t>Edmonton</w:t>
                    </w:r>
                  </w:p>
                  <w:p>
                    <w:pPr>
                      <w:pStyle w:val="Normal"/>
                      <w:spacing w:lineRule="exact" w:line="400"/>
                      <w:rPr>
                        <w:sz w:val="20"/>
                        <w:lang w:val="fr-CA"/>
                      </w:rPr>
                    </w:pPr>
                    <w:r>
                      <w:rPr>
                        <w:sz w:val="20"/>
                        <w:lang w:val="fr-CA"/>
                      </w:rPr>
                      <w:t>Montréal</w:t>
                    </w:r>
                  </w:p>
                  <w:p>
                    <w:pPr>
                      <w:pStyle w:val="Normal"/>
                      <w:spacing w:lineRule="exact" w:line="400"/>
                      <w:rPr>
                        <w:sz w:val="20"/>
                        <w:lang w:val="fr-CA"/>
                      </w:rPr>
                    </w:pPr>
                    <w:r>
                      <w:rPr>
                        <w:sz w:val="20"/>
                        <w:lang w:val="fr-CA"/>
                      </w:rPr>
                      <w:t xml:space="preserve">Ottawa </w:t>
                    </w:r>
                  </w:p>
                  <w:p>
                    <w:pPr>
                      <w:pStyle w:val="Normal"/>
                      <w:spacing w:lineRule="exact" w:line="400"/>
                      <w:rPr>
                        <w:sz w:val="20"/>
                        <w:lang w:val="fr-CA"/>
                      </w:rPr>
                    </w:pPr>
                    <w:r>
                      <w:rPr>
                        <w:sz w:val="20"/>
                        <w:lang w:val="fr-CA"/>
                      </w:rPr>
                      <w:t>Québec</w:t>
                    </w:r>
                  </w:p>
                  <w:p>
                    <w:pPr>
                      <w:pStyle w:val="Normal"/>
                      <w:spacing w:lineRule="exact" w:line="400"/>
                      <w:rPr>
                        <w:sz w:val="20"/>
                        <w:lang w:val="fr-CA"/>
                      </w:rPr>
                    </w:pPr>
                    <w:r>
                      <w:rPr>
                        <w:sz w:val="20"/>
                        <w:lang w:val="fr-CA"/>
                      </w:rPr>
                      <w:t>Vancouver</w:t>
                    </w:r>
                  </w:p>
                  <w:p>
                    <w:pPr>
                      <w:pStyle w:val="Normal"/>
                      <w:spacing w:lineRule="exact" w:line="400"/>
                      <w:rPr>
                        <w:sz w:val="20"/>
                        <w:lang w:val="fr-CA"/>
                      </w:rPr>
                    </w:pPr>
                    <w:r>
                      <w:rPr>
                        <w:sz w:val="20"/>
                        <w:lang w:val="fr-CA"/>
                      </w:rPr>
                      <w:t>Victoria</w:t>
                    </w:r>
                  </w:p>
                  <w:p>
                    <w:pPr>
                      <w:pStyle w:val="Normal"/>
                      <w:spacing w:lineRule="exact" w:line="400"/>
                      <w:rPr>
                        <w:sz w:val="20"/>
                        <w:lang w:val="fr-CA"/>
                      </w:rPr>
                    </w:pPr>
                    <w:r>
                      <w:rPr>
                        <w:sz w:val="20"/>
                        <w:lang w:val="fr-CA"/>
                      </w:rPr>
                      <w:t>Boston</w:t>
                    </w:r>
                  </w:p>
                  <w:p>
                    <w:pPr>
                      <w:pStyle w:val="Normal"/>
                      <w:spacing w:lineRule="exact" w:line="400"/>
                      <w:rPr>
                        <w:sz w:val="20"/>
                        <w:lang w:val="fr-CA"/>
                      </w:rPr>
                    </w:pPr>
                    <w:r>
                      <w:rPr>
                        <w:sz w:val="20"/>
                        <w:lang w:val="fr-CA"/>
                      </w:rPr>
                      <w:t>Providence</w:t>
                    </w:r>
                  </w:p>
                  <w:p>
                    <w:pPr>
                      <w:pStyle w:val="Normal"/>
                      <w:spacing w:lineRule="exact" w:line="400"/>
                      <w:rPr>
                        <w:sz w:val="20"/>
                        <w:lang w:val="fr-CA"/>
                      </w:rPr>
                    </w:pPr>
                    <w:r>
                      <w:rPr>
                        <w:sz w:val="20"/>
                        <w:lang w:val="fr-CA"/>
                      </w:rPr>
                      <w:t>Washington, D.C.</w:t>
                    </w:r>
                  </w:p>
                  <w:p>
                    <w:pPr>
                      <w:pStyle w:val="Normal"/>
                      <w:spacing w:lineRule="exact" w:line="400"/>
                      <w:rPr>
                        <w:sz w:val="20"/>
                        <w:lang w:val="fr-CA"/>
                      </w:rPr>
                    </w:pPr>
                    <w:r>
                      <w:rPr>
                        <w:sz w:val="20"/>
                        <w:lang w:val="fr-CA"/>
                      </w:rPr>
                      <w:t>Brussels</w:t>
                    </w:r>
                  </w:p>
                  <w:p>
                    <w:pPr>
                      <w:pStyle w:val="Normal"/>
                      <w:spacing w:lineRule="exact" w:line="400"/>
                      <w:rPr>
                        <w:sz w:val="20"/>
                        <w:lang w:val="fr-CA"/>
                      </w:rPr>
                    </w:pPr>
                    <w:r>
                      <w:rPr>
                        <w:sz w:val="20"/>
                        <w:lang w:val="fr-CA"/>
                      </w:rPr>
                      <w:t>London</w:t>
                    </w:r>
                  </w:p>
                  <w:p>
                    <w:pPr>
                      <w:pStyle w:val="Normal"/>
                      <w:spacing w:lineRule="exact" w:line="400"/>
                      <w:rPr>
                        <w:sz w:val="20"/>
                      </w:rPr>
                    </w:pPr>
                    <w:r>
                      <w:rPr>
                        <w:sz w:val="20"/>
                        <w:lang w:val="fr-CA"/>
                      </w:rPr>
                      <w:t>Edinburgh</w:t>
                    </w:r>
                  </w:p>
                </w:txbxContent>
              </v:textbox>
              <w10:wrap type="square"/>
            </v:rect>
          </w:pict>
        </mc:Fallback>
      </mc:AlternateConten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6"/>
      </w:rPr>
    </w:lvl>
  </w:abstractNum>
  <w:abstractNum w:abstractNumId="3">
    <w:lvl w:ilvl="0">
      <w:start w:val="1"/>
      <w:numFmt w:val="bullet"/>
      <w:lvlText w:val=""/>
      <w:lvlJc w:val="start"/>
      <w:pPr>
        <w:tabs>
          <w:tab w:val="num" w:pos="360"/>
        </w:tabs>
        <w:ind w:start="360" w:hanging="360"/>
      </w:pPr>
      <w:rPr>
        <w:rFonts w:ascii="Wingdings" w:hAnsi="Wingdings" w:cs="Wingdings" w:hint="default"/>
        <w:sz w:val="26"/>
      </w:rPr>
    </w:lvl>
  </w:abstractNum>
  <w:abstractNum w:abstractNumId="4">
    <w:lvl w:ilvl="0">
      <w:start w:val="1"/>
      <w:numFmt w:val="bullet"/>
      <w:lvlText w:val=""/>
      <w:lvlJc w:val="start"/>
      <w:pPr>
        <w:tabs>
          <w:tab w:val="num" w:pos="360"/>
        </w:tabs>
        <w:ind w:start="360" w:hanging="360"/>
      </w:pPr>
      <w:rPr>
        <w:rFonts w:ascii="Wingdings" w:hAnsi="Wingdings" w:cs="Wingdings" w:hint="default"/>
        <w:sz w:val="26"/>
      </w:rPr>
    </w:lvl>
  </w:abstractNum>
  <w:abstractNum w:abstractNumId="5">
    <w:lvl w:ilvl="0">
      <w:start w:val="1"/>
      <w:numFmt w:val="bullet"/>
      <w:lvlText w:val=""/>
      <w:lvlJc w:val="start"/>
      <w:pPr>
        <w:tabs>
          <w:tab w:val="num" w:pos="360"/>
        </w:tabs>
        <w:ind w:start="360" w:hanging="360"/>
      </w:pPr>
      <w:rPr>
        <w:rFonts w:ascii="Wingdings" w:hAnsi="Wingdings" w:cs="Wingdings" w:hint="default"/>
        <w:sz w:val="26"/>
      </w:rPr>
    </w:lvl>
  </w:abstractNum>
  <w:abstractNum w:abstractNumId="6">
    <w:lvl w:ilvl="0">
      <w:start w:val="1"/>
      <w:numFmt w:val="bullet"/>
      <w:lvlText w:val=""/>
      <w:lvlJc w:val="start"/>
      <w:pPr>
        <w:tabs>
          <w:tab w:val="num" w:pos="360"/>
        </w:tabs>
        <w:ind w:start="360" w:hanging="360"/>
      </w:pPr>
      <w:rPr>
        <w:rFonts w:ascii="Wingdings" w:hAnsi="Wingdings" w:cs="Wingdings" w:hint="default"/>
        <w:sz w:val="26"/>
      </w:rPr>
    </w:lvl>
  </w:abstractNum>
  <w:abstractNum w:abstractNumId="7">
    <w:lvl w:ilvl="0">
      <w:start w:val="1"/>
      <w:numFmt w:val="bullet"/>
      <w:lvlText w:val=""/>
      <w:lvlJc w:val="start"/>
      <w:pPr>
        <w:tabs>
          <w:tab w:val="num" w:pos="360"/>
        </w:tabs>
        <w:ind w:start="360" w:hanging="360"/>
      </w:pPr>
      <w:rPr>
        <w:rFonts w:ascii="Wingdings" w:hAnsi="Wingdings" w:cs="Wingdings" w:hint="default"/>
        <w:sz w:val="26"/>
      </w:rPr>
    </w:lvl>
  </w:abstractNum>
  <w:abstractNum w:abstractNumId="8">
    <w:lvl w:ilvl="0">
      <w:start w:val="1"/>
      <w:numFmt w:val="bullet"/>
      <w:lvlText w:val=""/>
      <w:lvlJc w:val="start"/>
      <w:pPr>
        <w:tabs>
          <w:tab w:val="num" w:pos="360"/>
        </w:tabs>
        <w:ind w:start="360" w:hanging="360"/>
      </w:pPr>
      <w:rPr>
        <w:rFonts w:ascii="Wingdings" w:hAnsi="Wingdings" w:cs="Wingdings" w:hint="default"/>
        <w:sz w:val="26"/>
      </w:rPr>
    </w:lvl>
  </w:abstractNum>
  <w:abstractNum w:abstractNumId="9">
    <w:lvl w:ilvl="0">
      <w:start w:val="1"/>
      <w:numFmt w:val="bullet"/>
      <w:lvlText w:val=""/>
      <w:lvlJc w:val="start"/>
      <w:pPr>
        <w:tabs>
          <w:tab w:val="num" w:pos="360"/>
        </w:tabs>
        <w:ind w:start="360" w:hanging="360"/>
      </w:pPr>
      <w:rPr>
        <w:rFonts w:ascii="Wingdings" w:hAnsi="Wingdings" w:cs="Wingdings" w:hint="default"/>
        <w:sz w:val="26"/>
      </w:rPr>
    </w:lvl>
  </w:abstractNum>
  <w:abstractNum w:abstractNumId="10">
    <w:lvl w:ilvl="0">
      <w:start w:val="1"/>
      <w:numFmt w:val="bullet"/>
      <w:lvlText w:val=""/>
      <w:lvlJc w:val="start"/>
      <w:pPr>
        <w:tabs>
          <w:tab w:val="num" w:pos="360"/>
        </w:tabs>
        <w:ind w:start="360" w:hanging="360"/>
      </w:pPr>
      <w:rPr>
        <w:rFonts w:ascii="Wingdings" w:hAnsi="Wingdings" w:cs="Wingdings" w:hint="default"/>
        <w:sz w:val="26"/>
      </w:rPr>
    </w:lvl>
  </w:abstractNum>
  <w:abstractNum w:abstractNumId="11">
    <w:lvl w:ilvl="0">
      <w:start w:val="1"/>
      <w:numFmt w:val="bullet"/>
      <w:lvlText w:val=""/>
      <w:lvlJc w:val="start"/>
      <w:pPr>
        <w:tabs>
          <w:tab w:val="num" w:pos="360"/>
        </w:tabs>
        <w:ind w:start="360" w:hanging="360"/>
      </w:pPr>
      <w:rPr>
        <w:rFonts w:ascii="Wingdings" w:hAnsi="Wingdings" w:cs="Wingdings" w:hint="default"/>
        <w:sz w:val="26"/>
      </w:rPr>
    </w:lvl>
  </w:abstractNum>
  <w:abstractNum w:abstractNumId="12">
    <w:lvl w:ilvl="0">
      <w:start w:val="1"/>
      <w:numFmt w:val="bullet"/>
      <w:lvlText w:val=""/>
      <w:lvlJc w:val="start"/>
      <w:pPr>
        <w:tabs>
          <w:tab w:val="num" w:pos="360"/>
        </w:tabs>
        <w:ind w:start="360" w:hanging="360"/>
      </w:pPr>
      <w:rPr>
        <w:rFonts w:ascii="Wingdings" w:hAnsi="Wingdings" w:cs="Wingdings" w:hint="default"/>
        <w:sz w:val="26"/>
      </w:rPr>
    </w:lvl>
  </w:abstractNum>
  <w:abstractNum w:abstractNumId="13">
    <w:lvl w:ilvl="0">
      <w:start w:val="1"/>
      <w:numFmt w:val="bullet"/>
      <w:lvlText w:val=""/>
      <w:lvlJc w:val="start"/>
      <w:pPr>
        <w:tabs>
          <w:tab w:val="num" w:pos="360"/>
        </w:tabs>
        <w:ind w:start="360" w:hanging="360"/>
      </w:pPr>
      <w:rPr>
        <w:rFonts w:ascii="Wingdings" w:hAnsi="Wingdings" w:cs="Wingdings" w:hint="default"/>
        <w:sz w:val="26"/>
      </w:rPr>
    </w:lvl>
  </w:abstractNum>
  <w:abstractNum w:abstractNumId="14">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sz w:val="28"/>
      <w:lang w:eastAsia="en-US"/>
    </w:rPr>
  </w:style>
  <w:style w:type="paragraph" w:styleId="Heading3">
    <w:name w:val="heading 3"/>
    <w:basedOn w:val="Normal"/>
    <w:next w:val="Normal"/>
    <w:qFormat/>
    <w:pPr>
      <w:keepNext w:val="true"/>
      <w:numPr>
        <w:ilvl w:val="2"/>
        <w:numId w:val="1"/>
      </w:numPr>
      <w:outlineLvl w:val="2"/>
    </w:pPr>
    <w:rPr>
      <w:b/>
    </w:rPr>
  </w:style>
  <w:style w:type="character" w:styleId="WW8Num1z0">
    <w:name w:val="WW8Num1z0"/>
    <w:qFormat/>
    <w:rPr>
      <w:rFonts w:ascii="Wingdings" w:hAnsi="Wingdings" w:cs="Wingdings"/>
      <w:sz w:val="26"/>
    </w:rPr>
  </w:style>
  <w:style w:type="character" w:styleId="WW8Num2z0">
    <w:name w:val="WW8Num2z0"/>
    <w:qFormat/>
    <w:rPr>
      <w:rFonts w:ascii="Wingdings" w:hAnsi="Wingdings" w:cs="Wingdings"/>
      <w:sz w:val="26"/>
    </w:rPr>
  </w:style>
  <w:style w:type="character" w:styleId="WW8Num3z0">
    <w:name w:val="WW8Num3z0"/>
    <w:qFormat/>
    <w:rPr>
      <w:rFonts w:ascii="Wingdings" w:hAnsi="Wingdings" w:cs="Wingdings"/>
      <w:sz w:val="26"/>
    </w:rPr>
  </w:style>
  <w:style w:type="character" w:styleId="WW8Num4z0">
    <w:name w:val="WW8Num4z0"/>
    <w:qFormat/>
    <w:rPr>
      <w:rFonts w:ascii="Wingdings" w:hAnsi="Wingdings" w:cs="Wingdings"/>
      <w:sz w:val="26"/>
    </w:rPr>
  </w:style>
  <w:style w:type="character" w:styleId="WW8Num5z0">
    <w:name w:val="WW8Num5z0"/>
    <w:qFormat/>
    <w:rPr>
      <w:rFonts w:ascii="Wingdings" w:hAnsi="Wingdings" w:cs="Wingdings"/>
      <w:sz w:val="26"/>
    </w:rPr>
  </w:style>
  <w:style w:type="character" w:styleId="WW8Num6z0">
    <w:name w:val="WW8Num6z0"/>
    <w:qFormat/>
    <w:rPr>
      <w:rFonts w:ascii="Wingdings" w:hAnsi="Wingdings" w:cs="Wingdings"/>
      <w:sz w:val="26"/>
    </w:rPr>
  </w:style>
  <w:style w:type="character" w:styleId="WW8Num7z0">
    <w:name w:val="WW8Num7z0"/>
    <w:qFormat/>
    <w:rPr>
      <w:rFonts w:ascii="Wingdings" w:hAnsi="Wingdings" w:cs="Wingdings"/>
      <w:sz w:val="26"/>
    </w:rPr>
  </w:style>
  <w:style w:type="character" w:styleId="WW8Num8z0">
    <w:name w:val="WW8Num8z0"/>
    <w:qFormat/>
    <w:rPr>
      <w:rFonts w:ascii="Wingdings" w:hAnsi="Wingdings" w:cs="Wingdings"/>
      <w:sz w:val="26"/>
    </w:rPr>
  </w:style>
  <w:style w:type="character" w:styleId="WW8Num9z0">
    <w:name w:val="WW8Num9z0"/>
    <w:qFormat/>
    <w:rPr>
      <w:rFonts w:ascii="Wingdings" w:hAnsi="Wingdings" w:cs="Wingdings"/>
      <w:sz w:val="26"/>
    </w:rPr>
  </w:style>
  <w:style w:type="character" w:styleId="WW8Num10z0">
    <w:name w:val="WW8Num10z0"/>
    <w:qFormat/>
    <w:rPr>
      <w:rFonts w:ascii="Wingdings" w:hAnsi="Wingdings" w:cs="Wingdings"/>
      <w:sz w:val="26"/>
    </w:rPr>
  </w:style>
  <w:style w:type="character" w:styleId="WW8Num11z0">
    <w:name w:val="WW8Num11z0"/>
    <w:qFormat/>
    <w:rPr>
      <w:rFonts w:ascii="Wingdings" w:hAnsi="Wingdings" w:cs="Wingdings"/>
      <w:sz w:val="26"/>
    </w:rPr>
  </w:style>
  <w:style w:type="character" w:styleId="WW8Num12z0">
    <w:name w:val="WW8Num12z0"/>
    <w:qFormat/>
    <w:rPr>
      <w:rFonts w:ascii="Wingdings" w:hAnsi="Wingdings" w:cs="Wingdings"/>
      <w:sz w:val="26"/>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6"/>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 Toronto GPC Canada.dot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2000-08-30T12:45:00Z</dcterms:created>
  <dc:creator>GPC</dc:creator>
  <dc:description/>
  <dc:language>en-CA</dc:language>
  <cp:lastModifiedBy>GPC</cp:lastModifiedBy>
  <cp:lastPrinted>1998-08-14T14:11:00Z</cp:lastPrinted>
  <dcterms:modified xsi:type="dcterms:W3CDTF">2000-08-30T13:11:00Z</dcterms:modified>
  <cp:revision>3</cp:revision>
  <dc:subject/>
  <dc:title>Prefix FirstName LastName</dc:title>
</cp:coreProperties>
</file>