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6"/>
        </w:rPr>
      </w:pPr>
      <w:r>
        <w:rPr>
          <w:b/>
          <w:bCs/>
          <w:sz w:val="36"/>
        </w:rPr>
        <w:t>Enron Net Works LLC</w:t>
      </w:r>
    </w:p>
    <w:p>
      <w:pPr>
        <w:pStyle w:val="Heading1"/>
        <w:ind w:hanging="0" w:start="0"/>
        <w:rPr>
          <w:sz w:val="36"/>
        </w:rPr>
      </w:pPr>
      <w:r>
        <w:rPr>
          <w:sz w:val="36"/>
        </w:rPr>
        <w:t>Deal Approval Sheet</w:t>
      </w:r>
    </w:p>
    <w:p>
      <w:pPr>
        <w:pStyle w:val="Normal"/>
        <w:pBdr>
          <w:bottom w:val="single" w:sz="12" w:space="1" w:color="000000"/>
        </w:pBdr>
        <w:jc w:val="center"/>
        <w:rPr>
          <w:sz w:val="36"/>
        </w:rPr>
      </w:pPr>
      <w:r>
        <w:rPr>
          <w:sz w:val="36"/>
        </w:rPr>
      </w:r>
    </w:p>
    <w:p>
      <w:pPr>
        <w:pStyle w:val="Heading2"/>
        <w:ind w:hanging="0" w:start="0"/>
        <w:rPr/>
      </w:pPr>
      <w:r>
        <w:rPr/>
        <w:t>Deal Name:  AEP POPS License Agreement</w:t>
        <w:tab/>
        <w:tab/>
      </w:r>
      <w:r>
        <w:rPr>
          <w:b w:val="false"/>
          <w:bCs w:val="false"/>
        </w:rPr>
        <w:t>Date:  November 14, 2001</w:t>
      </w:r>
    </w:p>
    <w:p>
      <w:pPr>
        <w:pStyle w:val="Normal"/>
        <w:rPr/>
      </w:pPr>
      <w:r>
        <w:rPr/>
        <w:t>Counterparty:  AEP Energy Services</w:t>
        <w:tab/>
        <w:tab/>
        <w:tab/>
        <w:tab/>
        <w:t>Deal Type:  Sale of License</w:t>
      </w:r>
    </w:p>
    <w:p>
      <w:pPr>
        <w:pStyle w:val="Normal"/>
        <w:rPr/>
      </w:pPr>
      <w:r>
        <w:rPr/>
        <w:t>Business Unit:  Enron Net Works LLC</w:t>
        <w:tab/>
        <w:tab/>
        <w:tab/>
        <w:t>Closing Date:  11-16-01</w:t>
      </w:r>
    </w:p>
    <w:p>
      <w:pPr>
        <w:pStyle w:val="Normal"/>
        <w:pBdr>
          <w:bottom w:val="single" w:sz="12" w:space="1" w:color="000000"/>
        </w:pBdr>
        <w:rPr/>
      </w:pPr>
      <w:r>
        <w:rPr/>
        <w:t>Originator:  Tommy Yanowski</w:t>
        <w:tab/>
        <w:tab/>
        <w:tab/>
        <w:tab/>
      </w:r>
    </w:p>
    <w:p>
      <w:pPr>
        <w:pStyle w:val="Normal"/>
        <w:rPr>
          <w:b/>
          <w:bCs/>
        </w:rPr>
      </w:pPr>
      <w:r>
        <w:rPr>
          <w:b/>
          <w:bCs/>
        </w:rPr>
      </w:r>
    </w:p>
    <w:p>
      <w:pPr>
        <w:pStyle w:val="Normal"/>
        <w:rPr>
          <w:b/>
          <w:bCs/>
        </w:rPr>
      </w:pPr>
      <w:r>
        <w:rPr>
          <w:b/>
          <w:bCs/>
        </w:rPr>
        <w:t>Exposure Summary</w:t>
      </w:r>
    </w:p>
    <w:p>
      <w:pPr>
        <w:pStyle w:val="Normal"/>
        <w:rPr>
          <w:b/>
          <w:bCs/>
        </w:rPr>
      </w:pPr>
      <w:r>
        <w:rPr>
          <w:b/>
          <w:bCs/>
        </w:rPr>
      </w:r>
    </w:p>
    <w:p>
      <w:pPr>
        <w:pStyle w:val="Normal"/>
        <w:pBdr>
          <w:bottom w:val="single" w:sz="12" w:space="1" w:color="000000"/>
        </w:pBdr>
        <w:rPr/>
      </w:pPr>
      <w:r>
        <w:rPr/>
        <w:t>Liability is capped at the aggregate fees paid to Enron or approximately $1.8MM</w:t>
      </w:r>
    </w:p>
    <w:p>
      <w:pPr>
        <w:pStyle w:val="Heading2"/>
        <w:ind w:hanging="0" w:start="0"/>
        <w:rPr/>
      </w:pPr>
      <w:r>
        <w:rPr/>
        <w:t>Deal Description</w:t>
      </w:r>
    </w:p>
    <w:p>
      <w:pPr>
        <w:pStyle w:val="Normal"/>
        <w:rPr>
          <w:b/>
          <w:bCs/>
        </w:rPr>
      </w:pPr>
      <w:r>
        <w:rPr>
          <w:b/>
          <w:bCs/>
        </w:rPr>
      </w:r>
    </w:p>
    <w:p>
      <w:pPr>
        <w:pStyle w:val="Normal"/>
        <w:rPr/>
      </w:pPr>
      <w:r>
        <w:rPr/>
        <w:t>Enron currently provides transitional IT Services for a monthly fee to AEP for their HPL subsidiary as a part of the sale of the HPL assets by Enron to AEP effective June 2001.  This deal has a term of 18 months.  AEP is in the process of acquiring replacement applications to support HPL after the expiration of the IT Services Agreement.  AEP has elected to purchase a license to use POPS over the Altra GTMS package and plans to integrate it with its own suite of applications.  Summary of the deal is as follows:</w:t>
      </w:r>
    </w:p>
    <w:p>
      <w:pPr>
        <w:pStyle w:val="Normal"/>
        <w:rPr/>
      </w:pPr>
      <w:r>
        <w:rPr/>
      </w:r>
    </w:p>
    <w:p>
      <w:pPr>
        <w:pStyle w:val="Normal"/>
        <w:rPr/>
      </w:pPr>
      <w:r>
        <w:rPr/>
        <w:t>Enron will sell a license to use the POPS module, as is, for $1,750,000, 1/3 of which is to be paid up front when an agreement is executed, 1/3 when Enron delivers the application and the remaining after a 30day test period.  The deliverables include the following:</w:t>
      </w:r>
    </w:p>
    <w:p>
      <w:pPr>
        <w:pStyle w:val="Normal"/>
        <w:rPr/>
      </w:pPr>
      <w:r>
        <w:rPr/>
      </w:r>
    </w:p>
    <w:p>
      <w:pPr>
        <w:pStyle w:val="Normal"/>
        <w:numPr>
          <w:ilvl w:val="0"/>
          <w:numId w:val="2"/>
        </w:numPr>
        <w:rPr/>
      </w:pPr>
      <w:r>
        <w:rPr/>
        <w:t>The source code and executables for the POPS module which includes it’s own tables for customer, contract and facility information.</w:t>
      </w:r>
    </w:p>
    <w:p>
      <w:pPr>
        <w:pStyle w:val="Normal"/>
        <w:numPr>
          <w:ilvl w:val="0"/>
          <w:numId w:val="2"/>
        </w:numPr>
        <w:rPr/>
      </w:pPr>
      <w:r>
        <w:rPr/>
        <w:t>The source code and executables for the HIWAY web- site, which is used to provide HPL information to its shippers.</w:t>
      </w:r>
    </w:p>
    <w:p>
      <w:pPr>
        <w:pStyle w:val="Normal"/>
        <w:numPr>
          <w:ilvl w:val="0"/>
          <w:numId w:val="2"/>
        </w:numPr>
        <w:rPr/>
      </w:pPr>
      <w:r>
        <w:rPr/>
        <w:t>The current software &amp; user documentation and the data model, as they exist at the time of sale.</w:t>
      </w:r>
    </w:p>
    <w:p>
      <w:pPr>
        <w:pStyle w:val="Normal"/>
        <w:numPr>
          <w:ilvl w:val="0"/>
          <w:numId w:val="2"/>
        </w:numPr>
        <w:rPr/>
      </w:pPr>
      <w:r>
        <w:rPr/>
        <w:t>Up to 40 man-hours of training and knowledge transfer services.</w:t>
      </w:r>
    </w:p>
    <w:p>
      <w:pPr>
        <w:pStyle w:val="Normal"/>
        <w:rPr/>
      </w:pPr>
      <w:r>
        <w:rPr/>
      </w:r>
    </w:p>
    <w:p>
      <w:pPr>
        <w:pStyle w:val="Normal"/>
        <w:rPr/>
      </w:pPr>
      <w:r>
        <w:rPr/>
        <w:t>The following conditions will apply to the sale of the IT assets:</w:t>
      </w:r>
    </w:p>
    <w:p>
      <w:pPr>
        <w:pStyle w:val="Normal"/>
        <w:rPr/>
      </w:pPr>
      <w:r>
        <w:rPr/>
      </w:r>
    </w:p>
    <w:p>
      <w:pPr>
        <w:pStyle w:val="Normal"/>
        <w:numPr>
          <w:ilvl w:val="0"/>
          <w:numId w:val="2"/>
        </w:numPr>
        <w:rPr/>
      </w:pPr>
      <w:r>
        <w:rPr/>
        <w:t>AEP may use the applications to support HPL or any affiliate engaged in energy pipeline operations and may not resale any portion of the IT assets or use them to provide services to non-affiliated companies.</w:t>
      </w:r>
    </w:p>
    <w:p>
      <w:pPr>
        <w:pStyle w:val="Normal"/>
        <w:numPr>
          <w:ilvl w:val="0"/>
          <w:numId w:val="2"/>
        </w:numPr>
        <w:rPr/>
      </w:pPr>
      <w:r>
        <w:rPr/>
        <w:t>Enron will retain the intellectual property rights to the applications.</w:t>
      </w:r>
    </w:p>
    <w:p>
      <w:pPr>
        <w:pStyle w:val="Normal"/>
        <w:numPr>
          <w:ilvl w:val="0"/>
          <w:numId w:val="2"/>
        </w:numPr>
        <w:rPr/>
      </w:pPr>
      <w:r>
        <w:rPr/>
        <w:t>AEP will retain the right to any future modifications that it makes to the applications.</w:t>
      </w:r>
    </w:p>
    <w:p>
      <w:pPr>
        <w:pStyle w:val="Normal"/>
        <w:numPr>
          <w:ilvl w:val="0"/>
          <w:numId w:val="2"/>
        </w:numPr>
        <w:rPr/>
      </w:pPr>
      <w:r>
        <w:rPr/>
        <w:t>Enron may provide a copy of the historical data for HPL once, right after the purchase of the applications and again when AEP begins using the applications at their site to support the day-to-day HPL Operations.</w:t>
      </w:r>
    </w:p>
    <w:p>
      <w:pPr>
        <w:pStyle w:val="Normal"/>
        <w:numPr>
          <w:ilvl w:val="0"/>
          <w:numId w:val="2"/>
        </w:numPr>
        <w:rPr/>
      </w:pPr>
      <w:r>
        <w:rPr/>
        <w:t>Any set up of the applications and future interfaces or modifications will be the responsibility of AEP.  Enron may provide up to another 320 hours of additional software development services at the rate of $150/hour.</w:t>
      </w:r>
    </w:p>
    <w:p>
      <w:pPr>
        <w:pStyle w:val="Normal"/>
        <w:rPr>
          <w:b/>
          <w:bCs/>
        </w:rPr>
      </w:pPr>
      <w:r>
        <w:rPr>
          <w:b/>
          <w:bCs/>
        </w:rPr>
        <w:t>________________________________________________________________________</w:t>
      </w:r>
    </w:p>
    <w:p>
      <w:pPr>
        <w:pStyle w:val="Normal"/>
        <w:rPr>
          <w:b/>
          <w:bCs/>
        </w:rPr>
      </w:pPr>
      <w:r>
        <w:rPr>
          <w:b/>
          <w:bCs/>
        </w:rPr>
      </w:r>
    </w:p>
    <w:p>
      <w:pPr>
        <w:pStyle w:val="Heading2"/>
        <w:ind w:hanging="0" w:start="0"/>
        <w:rPr/>
      </w:pPr>
      <w:r>
        <w:rPr/>
        <w:t>Proforma Economics</w:t>
      </w:r>
    </w:p>
    <w:p>
      <w:pPr>
        <w:pStyle w:val="Normal"/>
        <w:rPr>
          <w:b/>
          <w:bCs/>
        </w:rPr>
      </w:pPr>
      <w:r>
        <w:rPr>
          <w:b/>
          <w:bCs/>
        </w:rPr>
      </w:r>
    </w:p>
    <w:p>
      <w:pPr>
        <w:pStyle w:val="Normal"/>
        <w:rPr/>
      </w:pPr>
      <w:r>
        <w:rPr/>
        <w:t>Revenue for the license and source code</w:t>
      </w:r>
    </w:p>
    <w:p>
      <w:pPr>
        <w:pStyle w:val="Normal"/>
        <w:rPr/>
      </w:pPr>
      <w:r>
        <w:rPr/>
        <w:t>At deal execution: (11-16-01?)</w:t>
        <w:tab/>
        <w:tab/>
        <w:tab/>
        <w:tab/>
        <w:tab/>
        <w:tab/>
        <w:t xml:space="preserve">  $583,000</w:t>
      </w:r>
    </w:p>
    <w:p>
      <w:pPr>
        <w:pStyle w:val="Normal"/>
        <w:rPr/>
      </w:pPr>
      <w:r>
        <w:rPr/>
        <w:t>Upon delivery of the application and documentation (11-30-01?)</w:t>
        <w:tab/>
        <w:tab/>
        <w:t xml:space="preserve">  $583,000</w:t>
      </w:r>
    </w:p>
    <w:p>
      <w:pPr>
        <w:pStyle w:val="Normal"/>
        <w:rPr/>
      </w:pPr>
      <w:r>
        <w:rPr/>
        <w:t>Thirty days after the delivery date (12-30-01?)</w:t>
        <w:tab/>
        <w:tab/>
        <w:tab/>
        <w:tab/>
        <w:t xml:space="preserve">  </w:t>
      </w:r>
      <w:r>
        <w:rPr>
          <w:u w:val="single"/>
        </w:rPr>
        <w:t>$584,000</w:t>
      </w:r>
    </w:p>
    <w:p>
      <w:pPr>
        <w:pStyle w:val="Normal"/>
        <w:rPr/>
      </w:pPr>
      <w:r>
        <w:rPr/>
        <w:tab/>
        <w:tab/>
        <w:tab/>
        <w:tab/>
        <w:tab/>
        <w:tab/>
        <w:tab/>
        <w:tab/>
        <w:tab/>
        <w:tab/>
        <w:t>$1,750,000</w:t>
      </w:r>
    </w:p>
    <w:p>
      <w:pPr>
        <w:pStyle w:val="Normal"/>
        <w:rPr/>
      </w:pPr>
      <w:r>
        <w:rPr/>
      </w:r>
    </w:p>
    <w:p>
      <w:pPr>
        <w:pStyle w:val="Normal"/>
        <w:rPr/>
      </w:pPr>
      <w:r>
        <w:rPr/>
        <w:t>Less:  Current capitalized costs of POPS</w:t>
        <w:tab/>
        <w:tab/>
        <w:tab/>
        <w:tab/>
        <w:tab/>
        <w:t xml:space="preserve"> -$376,875</w:t>
      </w:r>
    </w:p>
    <w:p>
      <w:pPr>
        <w:pStyle w:val="Normal"/>
        <w:rPr>
          <w:bdr w:val="single" w:sz="4" w:space="0" w:color="000000"/>
        </w:rPr>
      </w:pPr>
      <w:r>
        <w:rPr/>
        <w:t xml:space="preserve">           </w:t>
      </w:r>
      <w:r>
        <w:rPr/>
        <w:t>Fully loaded cost to provide 40 hours of transfer services</w:t>
        <w:tab/>
        <w:tab/>
      </w:r>
      <w:r>
        <w:rPr>
          <w:u w:val="single"/>
        </w:rPr>
        <w:t xml:space="preserve">     -$3,520</w:t>
      </w:r>
      <w:r>
        <w:rPr/>
        <w:tab/>
        <w:tab/>
        <w:tab/>
        <w:tab/>
        <w:t>Gross Margin</w:t>
        <w:tab/>
        <w:tab/>
        <w:tab/>
        <w:tab/>
        <w:tab/>
        <w:tab/>
      </w:r>
      <w:r>
        <w:rPr>
          <w:u w:val="double"/>
        </w:rPr>
        <w:t>$1,369,605</w:t>
      </w:r>
    </w:p>
    <w:p>
      <w:pPr>
        <w:pStyle w:val="Normal"/>
        <w:rPr>
          <w:bdr w:val="single" w:sz="4" w:space="0" w:color="000000"/>
        </w:rPr>
      </w:pPr>
      <w:r>
        <w:rPr>
          <w:bdr w:val="single" w:sz="4" w:space="0" w:color="000000"/>
        </w:rPr>
      </w:r>
    </w:p>
    <w:p>
      <w:pPr>
        <w:pStyle w:val="Normal"/>
        <w:rPr/>
      </w:pPr>
      <w:r>
        <w:rPr/>
        <w:t>Additional Service Income to be delivered in Q1 2002</w:t>
      </w:r>
    </w:p>
    <w:p>
      <w:pPr>
        <w:pStyle w:val="Normal"/>
        <w:rPr/>
      </w:pPr>
      <w:r>
        <w:rPr/>
      </w:r>
    </w:p>
    <w:p>
      <w:pPr>
        <w:pStyle w:val="Normal"/>
        <w:rPr/>
      </w:pPr>
      <w:r>
        <w:rPr/>
        <w:t>Sale of consulting services to help AEP set up POPS (320 hrs. @ $150 per</w:t>
        <w:tab/>
        <w:t xml:space="preserve">      $48,000</w:t>
      </w:r>
    </w:p>
    <w:p>
      <w:pPr>
        <w:pStyle w:val="Normal"/>
        <w:rPr/>
      </w:pPr>
      <w:r>
        <w:rPr/>
        <w:t>Less fully loaded internal costs to provide consulting services</w:t>
        <w:tab/>
        <w:tab/>
      </w:r>
      <w:r>
        <w:rPr>
          <w:u w:val="single"/>
        </w:rPr>
        <w:t xml:space="preserve">     -$28,160</w:t>
      </w:r>
    </w:p>
    <w:p>
      <w:pPr>
        <w:pStyle w:val="Normal"/>
        <w:rPr/>
      </w:pPr>
      <w:r>
        <w:rPr/>
        <w:tab/>
        <w:tab/>
        <w:tab/>
        <w:t>Gross Margin</w:t>
        <w:tab/>
        <w:tab/>
        <w:tab/>
        <w:tab/>
        <w:tab/>
        <w:tab/>
      </w:r>
      <w:r>
        <w:rPr>
          <w:u w:val="double"/>
        </w:rPr>
        <w:t xml:space="preserve">      $21,328</w:t>
      </w:r>
    </w:p>
    <w:p>
      <w:pPr>
        <w:pStyle w:val="Normal"/>
        <w:rPr/>
      </w:pPr>
      <w:r>
        <w:rPr/>
        <w:tab/>
        <w:tab/>
        <w:tab/>
        <w:tab/>
        <w:tab/>
        <w:tab/>
        <w:tab/>
        <w:tab/>
        <w:tab/>
        <w:tab/>
      </w:r>
    </w:p>
    <w:p>
      <w:pPr>
        <w:pStyle w:val="Normal"/>
        <w:pBdr>
          <w:bottom w:val="single" w:sz="12" w:space="1" w:color="000000"/>
        </w:pBdr>
        <w:rPr/>
      </w:pPr>
      <w:r>
        <w:rPr/>
      </w:r>
    </w:p>
    <w:p>
      <w:pPr>
        <w:pStyle w:val="Heading2"/>
        <w:ind w:hanging="0" w:start="0"/>
        <w:rPr/>
      </w:pPr>
      <w:r>
        <w:rPr/>
        <w:t>Approvals</w:t>
        <w:tab/>
        <w:tab/>
        <w:t>Name</w:t>
        <w:tab/>
        <w:tab/>
        <w:tab/>
        <w:t>Signature</w:t>
        <w:tab/>
        <w:tab/>
        <w:tab/>
        <w:t>Date</w:t>
      </w:r>
    </w:p>
    <w:p>
      <w:pPr>
        <w:pStyle w:val="Normal"/>
        <w:rPr>
          <w:b/>
          <w:bCs/>
        </w:rPr>
      </w:pPr>
      <w:r>
        <w:rPr>
          <w:b/>
          <w:bCs/>
        </w:rPr>
      </w:r>
    </w:p>
    <w:p>
      <w:pPr>
        <w:pStyle w:val="Normal"/>
        <w:rPr/>
      </w:pPr>
      <w:r>
        <w:rPr/>
        <w:t>Originator:</w:t>
        <w:tab/>
        <w:tab/>
        <w:t>Tommy Yanowski</w:t>
        <w:tab/>
        <w:t>____________________</w:t>
        <w:tab/>
        <w:t>___________</w:t>
      </w:r>
    </w:p>
    <w:p>
      <w:pPr>
        <w:pStyle w:val="Normal"/>
        <w:rPr/>
      </w:pPr>
      <w:r>
        <w:rPr/>
      </w:r>
    </w:p>
    <w:p>
      <w:pPr>
        <w:pStyle w:val="Normal"/>
        <w:rPr/>
      </w:pPr>
      <w:r>
        <w:rPr/>
        <w:t>Business Unit Mgmt:</w:t>
        <w:tab/>
        <w:t>Greg Piper</w:t>
        <w:tab/>
        <w:tab/>
        <w:t>____________________</w:t>
        <w:tab/>
        <w:t>___________</w:t>
      </w:r>
    </w:p>
    <w:p>
      <w:pPr>
        <w:pStyle w:val="Normal"/>
        <w:rPr/>
      </w:pPr>
      <w:r>
        <w:rPr/>
      </w:r>
    </w:p>
    <w:p>
      <w:pPr>
        <w:pStyle w:val="Normal"/>
        <w:rPr/>
      </w:pPr>
      <w:r>
        <w:rPr/>
        <w:t>Technology:</w:t>
        <w:tab/>
        <w:tab/>
        <w:t>Mark Pickering</w:t>
        <w:tab/>
        <w:t>____________________</w:t>
        <w:tab/>
        <w:t>___________</w:t>
      </w:r>
    </w:p>
    <w:p>
      <w:pPr>
        <w:pStyle w:val="Normal"/>
        <w:rPr/>
      </w:pPr>
      <w:r>
        <w:rPr/>
      </w:r>
    </w:p>
    <w:p>
      <w:pPr>
        <w:pStyle w:val="Normal"/>
        <w:rPr/>
      </w:pPr>
      <w:r>
        <w:rPr/>
        <w:t>Legal:</w:t>
        <w:tab/>
        <w:tab/>
        <w:tab/>
        <w:t>Barbara Gray</w:t>
        <w:tab/>
        <w:tab/>
        <w:t>____________________</w:t>
        <w:tab/>
        <w:t>___________</w:t>
      </w:r>
    </w:p>
    <w:p>
      <w:pPr>
        <w:pStyle w:val="Normal"/>
        <w:rPr/>
      </w:pPr>
      <w:r>
        <w:rPr/>
      </w:r>
    </w:p>
    <w:p>
      <w:pPr>
        <w:pStyle w:val="Normal"/>
        <w:rPr/>
      </w:pPr>
      <w:r>
        <w:rPr/>
        <w:t>Accounting:</w:t>
        <w:tab/>
        <w:tab/>
        <w:t>Kerry Roper</w:t>
        <w:tab/>
        <w:tab/>
        <w:t>____________________</w:t>
        <w:tab/>
        <w:t>___________</w:t>
      </w:r>
    </w:p>
    <w:p>
      <w:pPr>
        <w:pStyle w:val="Normal"/>
        <w:rPr>
          <w:b/>
          <w:bCs/>
        </w:rPr>
      </w:pPr>
      <w:r>
        <w:rPr>
          <w:b/>
          <w:bCs/>
        </w:rPr>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40"/>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2001-11-14T11:20:00Z</dcterms:created>
  <dc:creator>Tommy J Yanowski</dc:creator>
  <dc:description/>
  <dc:language>en-CA</dc:language>
  <cp:lastModifiedBy>Tommy J Yanowski</cp:lastModifiedBy>
  <cp:lastPrinted>2001-11-14T08:57:00Z</cp:lastPrinted>
  <dcterms:modified xsi:type="dcterms:W3CDTF">2001-11-14T17:36:00Z</dcterms:modified>
  <cp:revision>3</cp:revision>
  <dc:subject/>
  <dc:title>Enron Net Works LLC</dc:title>
</cp:coreProperties>
</file>