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STATE OF FLORIDA</w:t>
      </w:r>
    </w:p>
    <w:p>
      <w:pPr>
        <w:pStyle w:val="Normal"/>
        <w:jc w:val="center"/>
        <w:rPr/>
      </w:pPr>
      <w:r>
        <w:rPr/>
        <w:t>DEPARTMENT OF ADMINISTRATIVE HEARINGS</w:t>
      </w:r>
    </w:p>
    <w:p>
      <w:pPr>
        <w:pStyle w:val="Normal"/>
        <w:rPr>
          <w:rFonts w:eastAsia="CG Times"/>
        </w:rPr>
      </w:pPr>
      <w:r>
        <w:rPr>
          <w:rFonts w:eastAsia="CG Times"/>
        </w:rPr>
        <w:t xml:space="preserve"> </w:t>
      </w:r>
    </w:p>
    <w:tbl>
      <w:tblPr>
        <w:tblW w:w="9216" w:type="dxa"/>
        <w:jc w:val="start"/>
        <w:tblInd w:w="0" w:type="dxa"/>
        <w:tblLayout w:type="fixed"/>
        <w:tblCellMar>
          <w:top w:w="0" w:type="dxa"/>
          <w:start w:w="108" w:type="dxa"/>
          <w:bottom w:w="0" w:type="dxa"/>
          <w:end w:w="108" w:type="dxa"/>
        </w:tblCellMar>
      </w:tblPr>
      <w:tblGrid>
        <w:gridCol w:w="4878"/>
        <w:gridCol w:w="4338"/>
      </w:tblGrid>
      <w:tr>
        <w:trPr/>
        <w:tc>
          <w:tcPr>
            <w:tcW w:w="4878" w:type="dxa"/>
            <w:tcBorders>
              <w:bottom w:val="single" w:sz="6" w:space="0" w:color="000000"/>
              <w:end w:val="single" w:sz="4" w:space="0" w:color="000000"/>
            </w:tcBorders>
          </w:tcPr>
          <w:p>
            <w:pPr>
              <w:pStyle w:val="Normal"/>
              <w:rPr/>
            </w:pPr>
            <w:r>
              <w:rPr/>
              <w:t>CITY OF CORAL SPRINGS, CITY OF MARGATE and CITY OF COCONUT CREEK,</w:t>
            </w:r>
          </w:p>
          <w:p>
            <w:pPr>
              <w:pStyle w:val="Normal"/>
              <w:rPr/>
            </w:pPr>
            <w:r>
              <w:rPr/>
            </w:r>
          </w:p>
          <w:p>
            <w:pPr>
              <w:pStyle w:val="Normal"/>
              <w:rPr/>
            </w:pPr>
            <w:r>
              <w:rPr/>
              <w:tab/>
              <w:t>Petitioners,</w:t>
            </w:r>
          </w:p>
          <w:p>
            <w:pPr>
              <w:pStyle w:val="Normal"/>
              <w:rPr/>
            </w:pPr>
            <w:r>
              <w:rPr/>
            </w:r>
          </w:p>
          <w:p>
            <w:pPr>
              <w:pStyle w:val="Normal"/>
              <w:rPr/>
            </w:pPr>
            <w:r>
              <w:rPr/>
              <w:t>v.</w:t>
            </w:r>
          </w:p>
          <w:p>
            <w:pPr>
              <w:pStyle w:val="Normal"/>
              <w:rPr/>
            </w:pPr>
            <w:r>
              <w:rPr/>
            </w:r>
          </w:p>
          <w:p>
            <w:pPr>
              <w:pStyle w:val="Normal"/>
              <w:rPr/>
            </w:pPr>
            <w:r>
              <w:rPr/>
              <w:t>STATE OF FLORIDA DEPARTMENT OF ENVIRONMENTAL PROTECTION,</w:t>
            </w:r>
          </w:p>
          <w:p>
            <w:pPr>
              <w:pStyle w:val="Normal"/>
              <w:rPr/>
            </w:pPr>
            <w:r>
              <w:rPr/>
            </w:r>
          </w:p>
          <w:p>
            <w:pPr>
              <w:pStyle w:val="Normal"/>
              <w:rPr/>
            </w:pPr>
            <w:r>
              <w:rPr/>
              <w:t>and</w:t>
            </w:r>
          </w:p>
          <w:p>
            <w:pPr>
              <w:pStyle w:val="Normal"/>
              <w:rPr/>
            </w:pPr>
            <w:r>
              <w:rPr/>
            </w:r>
          </w:p>
          <w:p>
            <w:pPr>
              <w:pStyle w:val="Normal"/>
              <w:rPr/>
            </w:pPr>
            <w:r>
              <w:rPr/>
              <w:t>POMPANO BEACH ENERGY CENTER, L.L.C. (AN AFFILIATE OF ENRON NORTH AMERICA),</w:t>
            </w:r>
          </w:p>
          <w:p>
            <w:pPr>
              <w:pStyle w:val="Normal"/>
              <w:rPr/>
            </w:pPr>
            <w:r>
              <w:rPr/>
            </w:r>
          </w:p>
          <w:p>
            <w:pPr>
              <w:pStyle w:val="Normal"/>
              <w:rPr/>
            </w:pPr>
            <w:r>
              <w:rPr/>
              <w:tab/>
              <w:t>Respondents.</w:t>
            </w:r>
          </w:p>
          <w:p>
            <w:pPr>
              <w:pStyle w:val="Normal"/>
              <w:rPr/>
            </w:pPr>
            <w:r>
              <w:rPr/>
            </w:r>
          </w:p>
        </w:tc>
        <w:tc>
          <w:tcPr>
            <w:tcW w:w="4338" w:type="dxa"/>
            <w:tcBorders>
              <w:start w:val="single" w:sz="4" w:space="0" w:color="000000"/>
            </w:tcBorders>
          </w:tcPr>
          <w:p>
            <w:pPr>
              <w:pStyle w:val="Normal"/>
              <w:snapToGrid w:val="false"/>
              <w:rPr/>
            </w:pPr>
            <w:r>
              <w:rPr/>
            </w:r>
          </w:p>
          <w:p>
            <w:pPr>
              <w:pStyle w:val="Normal"/>
              <w:rPr/>
            </w:pPr>
            <w:r>
              <w:rPr/>
            </w:r>
          </w:p>
          <w:p>
            <w:pPr>
              <w:pStyle w:val="Normal"/>
              <w:rPr/>
            </w:pPr>
            <w:r>
              <w:rPr/>
            </w:r>
          </w:p>
          <w:p>
            <w:pPr>
              <w:pStyle w:val="Normal"/>
              <w:jc w:val="center"/>
              <w:rPr>
                <w:smallCaps/>
              </w:rPr>
            </w:pPr>
            <w:r>
              <w:rPr>
                <w:smallCaps/>
              </w:rPr>
              <w:t>Consolidated</w:t>
            </w:r>
          </w:p>
          <w:p>
            <w:pPr>
              <w:pStyle w:val="Normal"/>
              <w:jc w:val="center"/>
              <w:rPr>
                <w:smallCaps/>
              </w:rPr>
            </w:pPr>
            <w:r>
              <w:rPr>
                <w:smallCaps/>
              </w:rPr>
            </w:r>
          </w:p>
          <w:p>
            <w:pPr>
              <w:pStyle w:val="Normal"/>
              <w:jc w:val="center"/>
              <w:rPr/>
            </w:pPr>
            <w:r>
              <w:rPr/>
              <w:t xml:space="preserve">DOAH </w:t>
            </w:r>
            <w:r>
              <w:rPr>
                <w:smallCaps/>
              </w:rPr>
              <w:t>Case Nos.</w:t>
              <w:tab/>
              <w:t>01-2682</w:t>
            </w:r>
          </w:p>
          <w:p>
            <w:pPr>
              <w:pStyle w:val="Normal"/>
              <w:tabs>
                <w:tab w:val="clear" w:pos="2160"/>
                <w:tab w:val="left" w:pos="720" w:leader="none"/>
                <w:tab w:val="left" w:pos="1440" w:leader="none"/>
                <w:tab w:val="left" w:pos="1872" w:leader="none"/>
                <w:tab w:val="left" w:pos="2592" w:leader="none"/>
                <w:tab w:val="left" w:pos="5040" w:leader="none"/>
              </w:tabs>
              <w:jc w:val="center"/>
              <w:rPr>
                <w:smallCaps/>
              </w:rPr>
            </w:pPr>
            <w:r>
              <w:rPr>
                <w:smallCaps/>
              </w:rPr>
              <w:tab/>
              <w:tab/>
              <w:tab/>
              <w:t xml:space="preserve">     01-2683</w:t>
            </w:r>
          </w:p>
          <w:p>
            <w:pPr>
              <w:pStyle w:val="Normal"/>
              <w:tabs>
                <w:tab w:val="left" w:pos="720" w:leader="none"/>
                <w:tab w:val="left" w:pos="1440" w:leader="none"/>
                <w:tab w:val="left" w:pos="2160" w:leader="none"/>
                <w:tab w:val="left" w:pos="2592" w:leader="none"/>
                <w:tab w:val="left" w:pos="5040" w:leader="none"/>
              </w:tabs>
              <w:jc w:val="center"/>
              <w:rPr>
                <w:smallCaps/>
              </w:rPr>
            </w:pPr>
            <w:r>
              <w:rPr>
                <w:smallCaps/>
              </w:rPr>
              <w:tab/>
              <w:tab/>
              <w:tab/>
              <w:t>01-2684</w:t>
            </w:r>
          </w:p>
          <w:p>
            <w:pPr>
              <w:pStyle w:val="Normal"/>
              <w:rPr>
                <w:smallCaps/>
              </w:rPr>
            </w:pPr>
            <w:r>
              <w:rPr>
                <w:smallCaps/>
              </w:rPr>
            </w:r>
          </w:p>
        </w:tc>
      </w:tr>
    </w:tbl>
    <w:p>
      <w:pPr>
        <w:pStyle w:val="Normal"/>
        <w:rPr/>
      </w:pPr>
      <w:r>
        <w:rPr/>
      </w:r>
    </w:p>
    <w:p>
      <w:pPr>
        <w:pStyle w:val="Normal"/>
        <w:rPr/>
      </w:pPr>
      <w:r>
        <w:rPr/>
      </w:r>
    </w:p>
    <w:p>
      <w:pPr>
        <w:pStyle w:val="Normal"/>
        <w:spacing w:lineRule="auto" w:line="360"/>
        <w:jc w:val="center"/>
        <w:rPr>
          <w:rFonts w:ascii="CG Times Bold;Times New Roman" w:hAnsi="CG Times Bold;Times New Roman" w:cs="CG Times Bold;Times New Roman"/>
          <w:b/>
          <w:u w:val="single"/>
        </w:rPr>
      </w:pPr>
      <w:r>
        <w:rPr>
          <w:rFonts w:cs="CG Times Bold;Times New Roman" w:ascii="CG Times Bold;Times New Roman" w:hAnsi="CG Times Bold;Times New Roman"/>
          <w:b/>
          <w:u w:val="single"/>
        </w:rPr>
        <w:t>POMPANO BEACH ENERGY CENTER’S RESPONSE TO</w:t>
      </w:r>
    </w:p>
    <w:p>
      <w:pPr>
        <w:pStyle w:val="Normal"/>
        <w:spacing w:lineRule="auto" w:line="360"/>
        <w:jc w:val="center"/>
        <w:rPr>
          <w:rFonts w:ascii="CG Times Bold;Times New Roman" w:hAnsi="CG Times Bold;Times New Roman" w:cs="CG Times Bold;Times New Roman"/>
          <w:b/>
        </w:rPr>
      </w:pPr>
      <w:r>
        <w:rPr>
          <w:rFonts w:cs="CG Times Bold;Times New Roman" w:ascii="CG Times Bold;Times New Roman" w:hAnsi="CG Times Bold;Times New Roman"/>
          <w:b/>
          <w:u w:val="single"/>
        </w:rPr>
        <w:t>BROWARD COUNTY’S MOTION TO INTERVENE</w:t>
      </w:r>
    </w:p>
    <w:p>
      <w:pPr>
        <w:pStyle w:val="Double"/>
        <w:jc w:val="both"/>
        <w:rPr/>
      </w:pPr>
      <w:r>
        <w:rPr/>
        <w:tab/>
        <w:t>Respondent, Pompano Beach Energy Center, L.L.C., hereby files its response to the motion to intervene submitted by the Broward County in this cause.  The motion should be denied because the motion does not satisfy the mandatory statutory and procedural requirements required by the rules, and because Broward County does not possess the requisite standing.</w:t>
      </w:r>
    </w:p>
    <w:p>
      <w:pPr>
        <w:pStyle w:val="Double"/>
        <w:jc w:val="center"/>
        <w:rPr>
          <w:rFonts w:ascii="CG Times Bold;Times New Roman" w:hAnsi="CG Times Bold;Times New Roman" w:cs="CG Times Bold;Times New Roman"/>
          <w:b/>
          <w:bCs/>
          <w:smallCaps/>
        </w:rPr>
      </w:pPr>
      <w:r>
        <w:rPr>
          <w:rFonts w:cs="CG Times Bold;Times New Roman" w:ascii="CG Times Bold;Times New Roman" w:hAnsi="CG Times Bold;Times New Roman"/>
          <w:b/>
          <w:bCs/>
          <w:smallCaps/>
        </w:rPr>
        <w:t>Argument</w:t>
      </w:r>
    </w:p>
    <w:p>
      <w:pPr>
        <w:pStyle w:val="Double"/>
        <w:jc w:val="both"/>
        <w:rPr/>
      </w:pPr>
      <w:r>
        <w:rPr/>
        <w:tab/>
        <w:t>Broward County’s motion should be denied for two reasons.  First, the motion does not comply with the statutory and rule-imposed requirements for intervention and participation in a formal administrative hearing, and second, Broward County does not possess standing to participate in the formal administrative proceeding.</w:t>
      </w:r>
    </w:p>
    <w:p>
      <w:pPr>
        <w:pStyle w:val="Heading1"/>
        <w:spacing w:before="240" w:after="120"/>
        <w:rPr/>
      </w:pPr>
      <w:r>
        <w:rPr/>
        <w:t>Procedural Deficiencies.</w:t>
      </w:r>
    </w:p>
    <w:p>
      <w:pPr>
        <w:pStyle w:val="Double"/>
        <w:jc w:val="both"/>
        <w:rPr/>
      </w:pPr>
      <w:r>
        <w:rPr/>
        <w:tab/>
        <w:t>Intervention is governed by Rule 28-106.205 of the Florida Administrative Code, which rule includes specific mandatory requirements for any party seeking intervention and provides, in pertinent part:</w:t>
      </w:r>
    </w:p>
    <w:p>
      <w:pPr>
        <w:pStyle w:val="QuoteIndent"/>
        <w:rPr/>
      </w:pPr>
      <w:r>
        <w:rPr/>
        <w:t xml:space="preserve">The petition </w:t>
      </w:r>
      <w:r>
        <w:rPr>
          <w:i/>
          <w:iCs/>
        </w:rPr>
        <w:t xml:space="preserve">shall </w:t>
      </w:r>
      <w:r>
        <w:rPr/>
        <w:t xml:space="preserve">conform to Rule 28-106.201(2), and </w:t>
      </w:r>
      <w:r>
        <w:rPr>
          <w:i/>
          <w:iCs/>
        </w:rPr>
        <w:t xml:space="preserve">shall </w:t>
      </w:r>
      <w:r>
        <w:rPr/>
        <w:t>include allegations sufficient to demonstrate that the intervenor is entitled to participate in the proceedings as a matter of constitutional or statutory right or pursuant to agency rule, or that the substantial interests of the intervenor are subject to determination or will be affected through the proceeding.</w:t>
      </w:r>
    </w:p>
    <w:p>
      <w:pPr>
        <w:pStyle w:val="Double"/>
        <w:jc w:val="both"/>
        <w:rPr/>
      </w:pPr>
      <w:r>
        <w:rPr/>
        <w:t xml:space="preserve">R. 28-106.205, F.A.C. (emphasis added).  In other words, intervenors are required, at a minimum, to satisfy the very same prerequisites required of all initial petitions for formal administrative hearing.  The uniform rules governing the submission of petitions to the Department require that such petitions “shall” contain </w:t>
      </w:r>
      <w:r>
        <w:rPr>
          <w:i/>
          <w:iCs/>
        </w:rPr>
        <w:t>all</w:t>
      </w:r>
      <w:r>
        <w:rPr/>
        <w:t xml:space="preserve"> the information listed in Rule 28-106.201(2)(a)-(g) of the Florida Administrative Code.  The rule’s requirements are mandated by statute, </w:t>
      </w:r>
      <w:r>
        <w:rPr>
          <w:i/>
          <w:iCs/>
        </w:rPr>
        <w:t xml:space="preserve">see </w:t>
      </w:r>
      <w:r>
        <w:rPr/>
        <w:t>Section 120.54(5), Florida Statutes (2000), and include:</w:t>
      </w:r>
    </w:p>
    <w:p>
      <w:pPr>
        <w:pStyle w:val="QuoteIndent"/>
        <w:rPr/>
      </w:pPr>
      <w:r>
        <w:rPr/>
        <w:t xml:space="preserve">(b) [A]n explanation of </w:t>
      </w:r>
      <w:r>
        <w:rPr>
          <w:i/>
          <w:iCs/>
        </w:rPr>
        <w:t xml:space="preserve">how </w:t>
      </w:r>
      <w:r>
        <w:rPr/>
        <w:t xml:space="preserve">the </w:t>
      </w:r>
      <w:r>
        <w:rPr>
          <w:i/>
          <w:iCs/>
        </w:rPr>
        <w:t>petitioner’s</w:t>
      </w:r>
      <w:r>
        <w:rPr/>
        <w:t xml:space="preserve"> substantial interests will be affected by the agency determination;</w:t>
      </w:r>
    </w:p>
    <w:p>
      <w:pPr>
        <w:pStyle w:val="QuoteIndent"/>
        <w:tabs>
          <w:tab w:val="clear" w:pos="720"/>
          <w:tab w:val="left" w:pos="1440" w:leader="none"/>
          <w:tab w:val="left" w:pos="2160" w:leader="none"/>
          <w:tab w:val="left" w:pos="5040" w:leader="none"/>
        </w:tabs>
        <w:ind w:start="0" w:end="720"/>
        <w:jc w:val="center"/>
        <w:rPr/>
      </w:pPr>
      <w:r>
        <w:rPr/>
        <w:t>*  *  *  *</w:t>
      </w:r>
    </w:p>
    <w:p>
      <w:pPr>
        <w:pStyle w:val="QuoteIndent"/>
        <w:rPr/>
      </w:pPr>
      <w:r>
        <w:rPr/>
        <w:t xml:space="preserve">(d) A statement of all </w:t>
      </w:r>
      <w:r>
        <w:rPr>
          <w:i/>
          <w:iCs/>
        </w:rPr>
        <w:t>disputed</w:t>
      </w:r>
      <w:r>
        <w:rPr/>
        <w:t xml:space="preserve"> issues of material fact.  If there are none, the petition must so indicate;</w:t>
      </w:r>
    </w:p>
    <w:p>
      <w:pPr>
        <w:pStyle w:val="QuoteIndent"/>
        <w:rPr/>
      </w:pPr>
      <w:r>
        <w:rPr/>
        <w:t xml:space="preserve">(e) A concise statement of the ultimate facts alleged, </w:t>
      </w:r>
      <w:r>
        <w:rPr>
          <w:i/>
          <w:iCs/>
        </w:rPr>
        <w:t xml:space="preserve">including the specific facts the petitioner contends warrant reversal or modification </w:t>
      </w:r>
      <w:r>
        <w:rPr/>
        <w:t>of the agency’s proposed action;</w:t>
      </w:r>
    </w:p>
    <w:p>
      <w:pPr>
        <w:pStyle w:val="QuoteIndent"/>
        <w:rPr/>
      </w:pPr>
      <w:r>
        <w:rPr/>
        <w:t xml:space="preserve">(f) A statement of the </w:t>
      </w:r>
      <w:r>
        <w:rPr>
          <w:i/>
          <w:iCs/>
        </w:rPr>
        <w:t>specific rules or statutes</w:t>
      </w:r>
      <w:r>
        <w:rPr/>
        <w:t xml:space="preserve"> the petitioner contends </w:t>
      </w:r>
      <w:r>
        <w:rPr>
          <w:i/>
          <w:iCs/>
        </w:rPr>
        <w:t xml:space="preserve">require reversal or modification </w:t>
      </w:r>
      <w:r>
        <w:rPr/>
        <w:t>of the agency’s proposed action . . .</w:t>
      </w:r>
    </w:p>
    <w:p>
      <w:pPr>
        <w:pStyle w:val="Double"/>
        <w:jc w:val="both"/>
        <w:rPr/>
      </w:pPr>
      <w:r>
        <w:rPr/>
        <w:t>Rule R. 28-106.201(2)(b)-(f), F.A.C. (emphasis added).  The Department has summarized the essential requirements as follows:</w:t>
      </w:r>
    </w:p>
    <w:p>
      <w:pPr>
        <w:pStyle w:val="QuoteIndent"/>
        <w:rPr/>
      </w:pPr>
      <w:r>
        <w:rPr/>
        <w:t xml:space="preserve">[The rule requires a] statement of how petitioner’s substantial environmental interests are affected by the Department’s proposed permit and administrative order.  In order to have such standing, petitioners must allege that petitioner’s substantial environmental interests are affected.  To do this petitioners must allege specifically (1) </w:t>
      </w:r>
      <w:r>
        <w:rPr>
          <w:i/>
          <w:iCs/>
        </w:rPr>
        <w:t xml:space="preserve">how </w:t>
      </w:r>
      <w:r>
        <w:rPr/>
        <w:t xml:space="preserve">petitioners will suffer injury if the permit and administrative order are granted ... and (2) </w:t>
      </w:r>
      <w:r>
        <w:rPr>
          <w:i/>
          <w:iCs/>
        </w:rPr>
        <w:t xml:space="preserve">how </w:t>
      </w:r>
      <w:r>
        <w:rPr/>
        <w:t>that injury is of a type of nature which the proceedings is designed to protect;</w:t>
      </w:r>
    </w:p>
    <w:p>
      <w:pPr>
        <w:pStyle w:val="QuoteIndent"/>
        <w:rPr/>
      </w:pPr>
      <w:r>
        <w:rPr/>
        <w:t>A statement of the material facts (</w:t>
      </w:r>
      <w:r>
        <w:rPr>
          <w:i/>
          <w:iCs/>
        </w:rPr>
        <w:t xml:space="preserve">i.e., </w:t>
      </w:r>
      <w:r>
        <w:rPr/>
        <w:t xml:space="preserve">those facts upon which the Department’s proposed action is based) disputed by petitioners, if any; </w:t>
      </w:r>
    </w:p>
    <w:p>
      <w:pPr>
        <w:pStyle w:val="QuoteIndent"/>
        <w:rPr/>
      </w:pPr>
      <w:r>
        <w:rPr/>
        <w:t>A statement of which rules or statutes petitioners contend require reversal or modification of the Department’s proposed permit and administrative order (</w:t>
      </w:r>
      <w:r>
        <w:rPr>
          <w:i/>
          <w:iCs/>
        </w:rPr>
        <w:t xml:space="preserve">e.g., </w:t>
      </w:r>
      <w:r>
        <w:rPr/>
        <w:t xml:space="preserve">by alleging </w:t>
      </w:r>
      <w:r>
        <w:rPr>
          <w:i/>
          <w:iCs/>
        </w:rPr>
        <w:t xml:space="preserve">the specific sections </w:t>
      </w:r>
      <w:r>
        <w:rPr/>
        <w:t xml:space="preserve">of Florida Administrative Code Rules 62-620, 62-3 or 62-302 </w:t>
      </w:r>
      <w:r>
        <w:rPr>
          <w:i/>
          <w:iCs/>
        </w:rPr>
        <w:t>that require reversal</w:t>
      </w:r>
      <w:r>
        <w:rPr/>
        <w:t xml:space="preserve">).    </w:t>
      </w:r>
    </w:p>
    <w:p>
      <w:pPr>
        <w:pStyle w:val="Double"/>
        <w:jc w:val="both"/>
        <w:rPr/>
      </w:pPr>
      <w:r>
        <w:rPr>
          <w:i/>
          <w:iCs/>
        </w:rPr>
        <w:t xml:space="preserve">Gary McIntyre, Allan Bainbridge and Mark Ryan v. Buckeye Florida L.P., and State of Florida Department of Environmental Protection, </w:t>
      </w:r>
      <w:r>
        <w:rPr>
          <w:rFonts w:cs="Times New Roman" w:ascii="Times New Roman" w:hAnsi="Times New Roman"/>
        </w:rPr>
        <w:t>—</w:t>
      </w:r>
      <w:r>
        <w:rPr/>
        <w:t xml:space="preserve"> FALR </w:t>
      </w:r>
      <w:r>
        <w:rPr>
          <w:rFonts w:cs="Times New Roman" w:ascii="Times New Roman" w:hAnsi="Times New Roman"/>
        </w:rPr>
        <w:t>—,</w:t>
      </w:r>
      <w:r>
        <w:rPr/>
        <w:t xml:space="preserve"> 1997 WL 676986, at *1 (Fla. Dept. Env. Prot. 1997) (emphasis added).  A review of each rule requirement and an examination of Broward County’s motion reveals that these basic requirements have simply not been met.</w:t>
      </w:r>
    </w:p>
    <w:p>
      <w:pPr>
        <w:pStyle w:val="Heading2"/>
        <w:tabs>
          <w:tab w:val="left" w:pos="360" w:leader="none"/>
          <w:tab w:val="left" w:pos="450" w:leader="none"/>
          <w:tab w:val="left" w:pos="720" w:leader="none"/>
          <w:tab w:val="left" w:pos="1440" w:leader="none"/>
          <w:tab w:val="left" w:pos="2160" w:leader="none"/>
          <w:tab w:val="left" w:pos="5040" w:leader="none"/>
        </w:tabs>
        <w:spacing w:before="240" w:after="120"/>
        <w:ind w:hanging="720" w:start="1440" w:end="720"/>
        <w:rPr/>
      </w:pPr>
      <w:r>
        <w:rPr/>
        <w:t>An explanation of how the petitioner’s substantial interests will be affected by the agency determination.  Rule 28-106.201(b), F.A.C.</w:t>
      </w:r>
    </w:p>
    <w:p>
      <w:pPr>
        <w:pStyle w:val="Double"/>
        <w:jc w:val="both"/>
        <w:rPr/>
      </w:pPr>
      <w:r>
        <w:rPr/>
        <w:tab/>
        <w:t xml:space="preserve">The failure to include an adequate explanation of how the issuance of a permit will substantially affect a petitioner is grounds for dismissal of a petition for formal administrative hearing because such a petition lacks what is required as a matter of pleading.  </w:t>
      </w:r>
      <w:r>
        <w:rPr>
          <w:i/>
          <w:iCs/>
        </w:rPr>
        <w:t>See, e.g., Town of Jupiter v. Village of Tequesta and Department of Environmental Protection</w:t>
      </w:r>
      <w:r>
        <w:rPr/>
        <w:t>, 19 FALR 856, 857 (Fla. Dept. of Env. Prot. 1996) (dismissing petition for formal administrative hearing because municipality failed to include an explanation of how its substantial environmental interests are affected, and holding that the petition “does not contain all of this required information and therefore does not contain sufficient reasons for holding a formal administrative hearing”).</w:t>
      </w:r>
    </w:p>
    <w:p>
      <w:pPr>
        <w:pStyle w:val="Double"/>
        <w:jc w:val="both"/>
        <w:rPr/>
      </w:pPr>
      <w:r>
        <w:rPr/>
        <w:tab/>
        <w:t>Broward County’s motion neglects to include an adequate “explanation of how the petitioner’s substantial interests are or will be affected by the action or proposed action.”  §120.54(5)(b)4.c., Fla. Stat. (2000).  The section of Broward County’s motion titled “Substantial Interest” provides that Broward County represents the residents within nearby municipalities and that Broward County’s property is near the proposed facility in the form of parks.  (Broward County’s Motion at ¶¶ 14-17).</w:t>
      </w:r>
    </w:p>
    <w:p>
      <w:pPr>
        <w:pStyle w:val="Double"/>
        <w:jc w:val="both"/>
        <w:rPr/>
      </w:pPr>
      <w:r>
        <w:rPr/>
        <w:tab/>
        <w:t xml:space="preserve">The fact that Broward County represents citizens within its jurisdiction does not, however, invest it with standing to participate as a party to the formal administrative hearing.  Broward County, required as an intervenor to satisfy the same requirement as any other entity or person who seeks a formal administrative hearing, must allege that its “substantial environmental interest are affected” and in doing so must “allege specifically how [it] will suffer injury if the permit and administrative order are granted.”  </w:t>
      </w:r>
      <w:r>
        <w:rPr>
          <w:i/>
          <w:iCs/>
        </w:rPr>
        <w:t xml:space="preserve">Gary McIntyre, </w:t>
      </w:r>
      <w:r>
        <w:rPr/>
        <w:t xml:space="preserve">1997 WL 676986, at *1.  The plain fact that Broward County is a governmental entity does nothing to satisfy this requirement.  Moreover, the fact that Broward County owns property near the proposed facility does not constitute an allegation of individualized harm to Broward County’s legally-protected environmental interests, as is required.  Broward County, like all other petitioners, is required to show that it will suffer substantial environmental injury in fact which is of sufficient immediacy to entitle it to a formal administrative hearing.  It is well-settled that “[m]ere proximity to the site is insufficient to confer standing.”  </w:t>
      </w:r>
      <w:r>
        <w:rPr>
          <w:i/>
          <w:iCs/>
        </w:rPr>
        <w:t xml:space="preserve">Mary Woodhouse, Robert Tyler and Bonita Nicolodi v. Suwannee American Cement Company Inc. and State of Florida Department of Environmental Protection, </w:t>
      </w:r>
      <w:r>
        <w:rPr/>
        <w:t>00 ER FALR 089, 2000 Fla. ENV LEXIS 24 (Fla. Dept. Env. Prot. 2000).  The fact that Broward County owns park property allegedly near the proposed facility does nothing to explain “how” its “substantial interests will be affected” by the proposed permit issuance.  Rule 28-106.201(2)(b).  Broward County’s intervention motion should consequently be denied as a matter of deficiency of pleading and procedure.</w:t>
      </w:r>
    </w:p>
    <w:p>
      <w:pPr>
        <w:pStyle w:val="Heading2"/>
        <w:spacing w:before="240" w:after="120"/>
        <w:ind w:hanging="720" w:start="1440" w:end="720"/>
        <w:jc w:val="both"/>
        <w:rPr/>
      </w:pPr>
      <w:r>
        <w:rPr/>
        <w:t>A statement of all disputed issues of material fact.  A concise statement of the ultimate facts alleged, including the specific facts the petitioner contends warrant reversal or modification of the agency’s proposed action.  Rule 28-106.201(d) and (e), F.A.C.</w:t>
      </w:r>
    </w:p>
    <w:p>
      <w:pPr>
        <w:pStyle w:val="Double"/>
        <w:jc w:val="both"/>
        <w:rPr/>
      </w:pPr>
      <w:r>
        <w:rPr/>
        <w:tab/>
        <w:t xml:space="preserve">The required factual recitations are missing from both the “Background” facts and the “Disputed Issues of Law and Fact” sections of the motion because neither section includes any </w:t>
      </w:r>
      <w:r>
        <w:rPr>
          <w:i/>
          <w:iCs/>
        </w:rPr>
        <w:t xml:space="preserve">material </w:t>
      </w:r>
      <w:r>
        <w:rPr/>
        <w:t xml:space="preserve">facts, </w:t>
      </w:r>
      <w:r>
        <w:rPr>
          <w:i/>
          <w:iCs/>
        </w:rPr>
        <w:t>i.e</w:t>
      </w:r>
      <w:r>
        <w:rPr/>
        <w:t xml:space="preserve">., facts that could possibly “warrant reversal” of the proposed permit issuance.  Rule 28-106.201(2)(e), F.A.C.  Because Broward County’s motion never ties an allegation of fact to a governing rule that could possibly require reversal, its intervention motion should be denied.  </w:t>
      </w:r>
    </w:p>
    <w:p>
      <w:pPr>
        <w:pStyle w:val="Heading2"/>
        <w:tabs>
          <w:tab w:val="left" w:pos="-540" w:leader="none"/>
          <w:tab w:val="left" w:pos="360" w:leader="none"/>
          <w:tab w:val="left" w:pos="720" w:leader="none"/>
          <w:tab w:val="left" w:pos="1440" w:leader="none"/>
          <w:tab w:val="left" w:pos="2160" w:leader="none"/>
          <w:tab w:val="left" w:pos="5040" w:leader="none"/>
        </w:tabs>
        <w:spacing w:before="240" w:after="120"/>
        <w:ind w:hanging="720" w:start="1440" w:end="720"/>
        <w:jc w:val="both"/>
        <w:rPr/>
      </w:pPr>
      <w:r>
        <w:rPr/>
        <w:t>A statement of the specific rules or statutes the petitioner contends require reversal or modification of the agency’s proposed action.  Rule 28-106.201(2)(f), F.A.C.</w:t>
      </w:r>
    </w:p>
    <w:p>
      <w:pPr>
        <w:pStyle w:val="Double"/>
        <w:jc w:val="both"/>
        <w:rPr/>
      </w:pPr>
      <w:r>
        <w:rPr/>
        <w:tab/>
        <w:t xml:space="preserve">Broward County’s motion falls far short of complying with this requirement.  While Broward County’s motion </w:t>
      </w:r>
      <w:r>
        <w:rPr>
          <w:i/>
          <w:iCs/>
        </w:rPr>
        <w:t>names</w:t>
      </w:r>
      <w:r>
        <w:rPr/>
        <w:t xml:space="preserve"> various rules, none of those rules require what Broward County urges, and none could possibly require reversal of the Department’s decision to issue the proposed permit.  In an attempt to identify a rule or statute that could possibly require reversal, as required under Rule 28-106.201(2)(f), Broward County points to Rules 62-210.300(38) and 62-212.400(6) — which rules set out the BACT determination requirements — in support of the allegation that individual BACT determinations are required for minor emissions sources at the proposed facility.  (Broward County’s Motion at ¶¶ 25-27).  The BACT determination rules say nothing about minor sources, however, and Broward County’s repetition of the BACT rules does not satisfy the procedural requirements.</w:t>
      </w:r>
    </w:p>
    <w:p>
      <w:pPr>
        <w:pStyle w:val="Double"/>
        <w:jc w:val="both"/>
        <w:rPr/>
      </w:pPr>
      <w:r>
        <w:rPr/>
        <w:tab/>
        <w:t>Broward County also contends that it is a “disputed issue of law and fact” that the Department establish a lower NO</w:t>
      </w:r>
      <w:r>
        <w:rPr>
          <w:vertAlign w:val="subscript"/>
        </w:rPr>
        <w:t xml:space="preserve">x  </w:t>
      </w:r>
      <w:r>
        <w:rPr/>
        <w:t>limit for the facility because “other states” have allegedly permitted a large number of peaking power plants with lower NO</w:t>
      </w:r>
      <w:r>
        <w:rPr>
          <w:vertAlign w:val="subscript"/>
        </w:rPr>
        <w:t xml:space="preserve">x </w:t>
      </w:r>
      <w:r>
        <w:rPr/>
        <w:t>limits.  (Broward County’s Motion at ¶27).  In support of this assertion, Broward County relies upon Rule 62-212.400(2)(f), but this rule simply does not require the imposition of a lower emission level just because a lower level was imposed in another state.  In fact, the rule does not even mention the NO</w:t>
      </w:r>
      <w:r>
        <w:rPr>
          <w:vertAlign w:val="subscript"/>
        </w:rPr>
        <w:t xml:space="preserve">x  </w:t>
      </w:r>
      <w:r>
        <w:rPr/>
        <w:t>limits imposed by other states, but instead only defines those pollutants subject to PSD preconstruction review, as the title of the rule states.</w:t>
      </w:r>
    </w:p>
    <w:p>
      <w:pPr>
        <w:pStyle w:val="Double"/>
        <w:jc w:val="both"/>
        <w:rPr/>
      </w:pPr>
      <w:r>
        <w:rPr/>
        <w:tab/>
        <w:t xml:space="preserve">The BACT rules actually require that the Department </w:t>
      </w:r>
      <w:r>
        <w:rPr>
          <w:i/>
          <w:iCs/>
        </w:rPr>
        <w:t>give consideration</w:t>
      </w:r>
      <w:r>
        <w:rPr/>
        <w:t xml:space="preserve"> to (1) any determination of BACT by the Environmental Protection Agency; (2) all scientific, engineering and technical material and other information available to the Department; (3) the “emission limiting standards or BACT determinations of any other state;” and (4) the social and economic impact of the application of such technology.  Rule 62-212.400(6)(a)1-4, F.A.C.  The BACT Determination located in Appendix BD of the Draft Permit shows that the Department did in fact consider the technology and emissions standards in place throughout Florida and the rest of the United States.  (</w:t>
      </w:r>
      <w:r>
        <w:rPr>
          <w:i/>
          <w:iCs/>
        </w:rPr>
        <w:t xml:space="preserve">See, e.g., </w:t>
      </w:r>
      <w:r>
        <w:rPr/>
        <w:t>Draft Permit Appendix BD at BD-3 through BD-5, charting the emissions limits and technology in use at sites throughout Florida as well as in Georgia, Texas, North Carolina, California, Puerto Rico and Wisconsin; Appendix BD at BD-11, examining implementation of “XONON” technology (using flameless catalytic combustion and low temperature compustion to alleviate NO</w:t>
      </w:r>
      <w:r>
        <w:rPr>
          <w:vertAlign w:val="subscript"/>
        </w:rPr>
        <w:t xml:space="preserve">x </w:t>
      </w:r>
      <w:r>
        <w:rPr/>
        <w:t>formation) in California; and Appendix BD at BD-12 through BD-13 discussing the “SCONO</w:t>
      </w:r>
      <w:r>
        <w:rPr>
          <w:vertAlign w:val="subscript"/>
        </w:rPr>
        <w:t>x</w:t>
      </w:r>
      <w:r>
        <w:rPr/>
        <w:t>”</w:t>
      </w:r>
      <w:r>
        <w:rPr>
          <w:vertAlign w:val="subscript"/>
        </w:rPr>
        <w:t xml:space="preserve"> </w:t>
      </w:r>
      <w:r>
        <w:rPr/>
        <w:t>(NO</w:t>
      </w:r>
      <w:r>
        <w:rPr>
          <w:vertAlign w:val="subscript"/>
        </w:rPr>
        <w:t xml:space="preserve">x </w:t>
      </w:r>
      <w:r>
        <w:rPr/>
        <w:t xml:space="preserve">control technology) in use in California and purchased for a facility in Massachusetts).  Thus, Broward County’s mere enumeration of Rules 62-210.300(38) and 62-212.400(6) does not constitute the identification of any rule that could possibly require the reversal of the Department’s decision to issue the permit.  </w:t>
      </w:r>
    </w:p>
    <w:p>
      <w:pPr>
        <w:pStyle w:val="Double"/>
        <w:jc w:val="both"/>
        <w:rPr/>
      </w:pPr>
      <w:r>
        <w:rPr/>
        <w:tab/>
        <w:t xml:space="preserve">The statutes and rules invoked by an intervenor must </w:t>
      </w:r>
      <w:r>
        <w:rPr>
          <w:i/>
          <w:iCs/>
        </w:rPr>
        <w:t>pertain</w:t>
      </w:r>
      <w:r>
        <w:rPr/>
        <w:t xml:space="preserve"> to the challenged agency activity, and the injuries named must be within the zone of interests protected by the statutes implemented — and rules utilized — by the agency.  </w:t>
      </w:r>
      <w:r>
        <w:rPr>
          <w:i/>
          <w:iCs/>
        </w:rPr>
        <w:t xml:space="preserve">Samuel S. Forman, Petitioner v. State of Florida, Department of Environmental Protection, </w:t>
      </w:r>
      <w:r>
        <w:rPr/>
        <w:t xml:space="preserve">97 ER FALR 075, 1997 Fla. ENV. LEXIS 49, at *9-10 (Fla. Dept. Env. Prot. 1997).  Broward County has nowhere identified a specific rule or statute that would be violated if the subject permit is issued.  To participate in a formal administrative hearing within which to challenge a proposed air permit issuance, “citations to rules and statutes that would support reversal or modification of the Department’s proposed decision” are mandatory.  </w:t>
      </w:r>
      <w:r>
        <w:rPr>
          <w:i/>
          <w:iCs/>
        </w:rPr>
        <w:t xml:space="preserve">Sierra Club, Petitioner v. PCS Sales (USA), Inc. and the State of Florida, Department of Environmental Protection, Respondent,  </w:t>
      </w:r>
      <w:r>
        <w:rPr/>
        <w:t>— ER FALR —, 1998 WL 56016, at *2 (Fla. Dept. Env. Prot. 1998).  Broward County has instead failed to identify a single rule or statute in its petition that could possibly require reversal, as is required by Rule 28-106.201(2)(b)-(f) applicable to motions to intervene in a formal administrative hearing and its motion should consequently be dismissed.</w:t>
      </w:r>
    </w:p>
    <w:p>
      <w:pPr>
        <w:pStyle w:val="Double"/>
        <w:jc w:val="both"/>
        <w:rPr/>
      </w:pPr>
      <w:r>
        <w:rPr/>
        <w:tab/>
        <w:t>Based upon the foregoing review of each of the rule-imposed minimum requirements, and Broward County’s failure to meet those requirements in its intervention motion, Broward County’s motion should be denied.</w:t>
      </w:r>
    </w:p>
    <w:p>
      <w:pPr>
        <w:pStyle w:val="Heading1"/>
        <w:spacing w:before="240" w:after="120"/>
        <w:rPr/>
      </w:pPr>
      <w:r>
        <w:rPr/>
        <w:t>Broward County Lacks Standing.</w:t>
      </w:r>
    </w:p>
    <w:p>
      <w:pPr>
        <w:pStyle w:val="Double"/>
        <w:jc w:val="both"/>
        <w:rPr/>
      </w:pPr>
      <w:r>
        <w:rPr/>
        <w:tab/>
        <w:t xml:space="preserve">The rule governing intervention twice recites the requirement that an intervenor possess standing by showing that the “substantial interests of the intervenor” are subject to determination in the pending proceeding.  R. 28-106,205, F.A.C.  The purpose behind the standing requirement “is to ensure that a party has a sufficient interest in the outcome of the litigation which warrants the court’s entertaining it and to assure that a party has a personal stake in the outcome so he will adequately represent the interest he asserts.”  </w:t>
      </w:r>
      <w:r>
        <w:rPr>
          <w:i/>
          <w:iCs/>
        </w:rPr>
        <w:t xml:space="preserve">Gregory v. Indian River County and Department of Environmental Regulation, </w:t>
      </w:r>
      <w:r>
        <w:rPr/>
        <w:t>610 So. 2d 547, 554 (Fla. 1st DCA 1992).  The import of this basic jurisdictional requirement has driven the common-law evolution of a very specific test, which test can be satisfied only by allegations of individualized harm occurring within the zone legally-protected interests.</w:t>
      </w:r>
    </w:p>
    <w:p>
      <w:pPr>
        <w:pStyle w:val="Double"/>
        <w:spacing w:lineRule="auto" w:line="240" w:before="240" w:after="120"/>
        <w:ind w:hanging="1440" w:start="1440" w:end="0"/>
        <w:jc w:val="both"/>
        <w:rPr/>
      </w:pPr>
      <w:r>
        <w:rPr/>
        <w:tab/>
      </w:r>
      <w:r>
        <w:rPr>
          <w:b/>
          <w:bCs/>
        </w:rPr>
        <w:t>A.</w:t>
        <w:tab/>
        <w:t>The Requirement of an Injury in Fact Within the Zone of Protected Interests.</w:t>
      </w:r>
    </w:p>
    <w:p>
      <w:pPr>
        <w:pStyle w:val="Double"/>
        <w:jc w:val="both"/>
        <w:rPr/>
      </w:pPr>
      <w:r>
        <w:rPr/>
        <w:tab/>
        <w:t xml:space="preserve">The definitive case on the standing requirement for obtaining a formal administrative hearing is that of the Second District Court of Appeal in </w:t>
      </w:r>
      <w:r>
        <w:rPr>
          <w:i/>
          <w:iCs/>
        </w:rPr>
        <w:t>Agrico Chemical Company v. Department of Environmental Regulation</w:t>
      </w:r>
      <w:r>
        <w:rPr/>
        <w:t xml:space="preserve">, 406 So. 2d 478 (Fla. 2d DCA 1981).  The </w:t>
      </w:r>
      <w:r>
        <w:rPr>
          <w:i/>
          <w:iCs/>
        </w:rPr>
        <w:t xml:space="preserve">Agrico Chemical  </w:t>
      </w:r>
      <w:r>
        <w:rPr/>
        <w:t>court enunciated the following test:</w:t>
      </w:r>
    </w:p>
    <w:p>
      <w:pPr>
        <w:pStyle w:val="QuoteIndent"/>
        <w:rPr/>
      </w:pPr>
      <w:r>
        <w:rPr/>
        <w:t>We believe that before one can be considered to have a substantial interest in the outcome of the proceeding he must show (1) that he will suffer injury in fact which is of sufficient immediacy to entitle him to a section 120.57 hearing, and (2) that his substantial injury is of a type or nature which the proceeding is designed to protect.  The first aspect of the test deals with the degree of injury.  The second deals with the nature of the injury.</w:t>
      </w:r>
    </w:p>
    <w:p>
      <w:pPr>
        <w:pStyle w:val="Double"/>
        <w:jc w:val="both"/>
        <w:rPr/>
      </w:pPr>
      <w:r>
        <w:rPr>
          <w:i/>
          <w:iCs/>
        </w:rPr>
        <w:t xml:space="preserve">Agrico Chemical, </w:t>
      </w:r>
      <w:r>
        <w:rPr/>
        <w:t xml:space="preserve">406 So. 2d at 482.  The </w:t>
      </w:r>
      <w:r>
        <w:rPr>
          <w:i/>
          <w:iCs/>
        </w:rPr>
        <w:t xml:space="preserve">Agrico Chemical </w:t>
      </w:r>
      <w:r>
        <w:rPr/>
        <w:t xml:space="preserve"> court further explained that parties seeking a Section 120.57 formal administrative hearing must frame their petition “in terms which </w:t>
      </w:r>
      <w:r>
        <w:rPr>
          <w:i/>
          <w:iCs/>
        </w:rPr>
        <w:t>clearly</w:t>
      </w:r>
      <w:r>
        <w:rPr/>
        <w:t xml:space="preserve"> show </w:t>
      </w:r>
      <w:r>
        <w:rPr>
          <w:i/>
          <w:iCs/>
        </w:rPr>
        <w:t>injury in fact</w:t>
      </w:r>
      <w:r>
        <w:rPr/>
        <w:t xml:space="preserve">.”  </w:t>
      </w:r>
      <w:r>
        <w:rPr>
          <w:i/>
          <w:iCs/>
        </w:rPr>
        <w:t xml:space="preserve">Id. </w:t>
      </w:r>
      <w:r>
        <w:rPr/>
        <w:t xml:space="preserve">(emphasis added).  The </w:t>
      </w:r>
      <w:r>
        <w:rPr>
          <w:i/>
          <w:iCs/>
        </w:rPr>
        <w:t xml:space="preserve">Agrico Chemical </w:t>
      </w:r>
      <w:r>
        <w:rPr/>
        <w:t>standing test has been repeatedly recited and applied by the Department.  For instance, the Department last year ruled:</w:t>
      </w:r>
    </w:p>
    <w:p>
      <w:pPr>
        <w:pStyle w:val="QuoteIndent"/>
        <w:rPr/>
      </w:pPr>
      <w:r>
        <w:rPr/>
        <w:t xml:space="preserve">Petitioner’s petition does not satisfy the standing requirements, that an applicant requesting a formal hearing concerning agency action must show (1) that he will suffer injury in fact which is of sufficient immediacy to entitle him to a hearing under Sections 120.569 and 120.57, Florida Statutes and (2) that his substantial injury is of a type or nature which the proceeding is designed to protect.  </w:t>
      </w:r>
      <w:r>
        <w:rPr>
          <w:i/>
          <w:iCs/>
        </w:rPr>
        <w:t xml:space="preserve">See Agrico Chemical Co. v. Department of Environmental Regulation, </w:t>
      </w:r>
      <w:r>
        <w:rPr/>
        <w:t>406 So. 2d 478, 482 (Fla. 2d DCA 1981).</w:t>
      </w:r>
    </w:p>
    <w:p>
      <w:pPr>
        <w:pStyle w:val="Double"/>
        <w:jc w:val="both"/>
        <w:rPr/>
      </w:pPr>
      <w:r>
        <w:rPr>
          <w:i/>
          <w:iCs/>
        </w:rPr>
        <w:t xml:space="preserve">Riverwoods Property Owner’s Association, Inc. v. Department of Environmental Regulation, </w:t>
      </w:r>
      <w:r>
        <w:rPr/>
        <w:t xml:space="preserve">1 ER FALR 91, 2000 Fla. ENV LEXIS 299 (Fla. Dept. Env. Prot. 2000).  As is explained </w:t>
      </w:r>
      <w:r>
        <w:rPr>
          <w:i/>
          <w:iCs/>
        </w:rPr>
        <w:t>infra</w:t>
      </w:r>
      <w:r>
        <w:rPr/>
        <w:t xml:space="preserve">, Broward County’s motion never enunciates an injury of any “immediacy” and merely concludes that it “has a substantial interest in the outcome of this matter.”  (Broward County’s Motion at ¶19).  </w:t>
      </w:r>
    </w:p>
    <w:p>
      <w:pPr>
        <w:pStyle w:val="Double"/>
        <w:jc w:val="both"/>
        <w:rPr>
          <w:i/>
          <w:i/>
          <w:iCs/>
        </w:rPr>
      </w:pPr>
      <w:r>
        <w:rPr/>
        <w:tab/>
        <w:t xml:space="preserve">The standing inquiry is based upon the allegations contained within a well-pled motion for intervention, and Broward County’s speculative allegations of injury, which injury is left to be defined and explained, cannot invest it with standing to participate in the formal administrative proceeding.  </w:t>
      </w:r>
      <w:r>
        <w:rPr>
          <w:i/>
          <w:iCs/>
        </w:rPr>
        <w:t>E.g., Florida Chapter of the Sierra Club and Save Our Suwannee, Inc. v. Suwannee American Cement Company, Inc., and Department of Environmental Protection</w:t>
      </w:r>
      <w:r>
        <w:rPr/>
        <w:t xml:space="preserve">, — ER FALR — , 2000 WL 1185499, *7 (Fla. Dept. Env. Prot. 2000).  </w:t>
      </w:r>
    </w:p>
    <w:p>
      <w:pPr>
        <w:pStyle w:val="Double"/>
        <w:jc w:val="both"/>
        <w:rPr/>
      </w:pPr>
      <w:r>
        <w:rPr/>
        <w:tab/>
        <w:t xml:space="preserve">To have standing to participate in an administrative hearing, a person or entity must allege that its "substantial interests" will be affected by the proposed agency action, such that the person or entity will suffer injury in fact which is of sufficient immediacy to entitle them to an administrative hearing.  </w:t>
      </w:r>
      <w:r>
        <w:rPr>
          <w:i/>
          <w:iCs/>
        </w:rPr>
        <w:t>Town of Palm Beach v. State Dep't of Natural Resources</w:t>
      </w:r>
      <w:r>
        <w:rPr/>
        <w:t xml:space="preserve">, 577 So. 2d 1383 (Fla. 4th DCA 1991).  The injury in fact test been characterized by the Department as describing a party as being "immediately in danger of sustaining some direct injury as a result of the challenged agency's action."  </w:t>
      </w:r>
      <w:r>
        <w:rPr>
          <w:i/>
          <w:iCs/>
        </w:rPr>
        <w:t>Sierra Club and Save Our Suwanee v. Suwanee American Cement Company</w:t>
      </w:r>
      <w:r>
        <w:rPr/>
        <w:t xml:space="preserve">, </w:t>
      </w:r>
      <w:r>
        <w:rPr>
          <w:rFonts w:eastAsia="Symbol" w:cs="Symbol" w:ascii="Symbol" w:hAnsi="Symbol"/>
        </w:rPr>
        <w:sym w:font="Symbol" w:char="f0be"/>
      </w:r>
      <w:r>
        <w:rPr/>
        <w:t xml:space="preserve"> FALR </w:t>
      </w:r>
      <w:r>
        <w:rPr>
          <w:rFonts w:eastAsia="Symbol" w:cs="Symbol" w:ascii="Symbol" w:hAnsi="Symbol"/>
        </w:rPr>
        <w:sym w:font="Symbol" w:char="f0be"/>
      </w:r>
      <w:r>
        <w:rPr/>
        <w:t xml:space="preserve"> , 2000 WL 1185499 at *7.</w:t>
      </w:r>
    </w:p>
    <w:p>
      <w:pPr>
        <w:pStyle w:val="Double"/>
        <w:jc w:val="both"/>
        <w:rPr/>
      </w:pPr>
      <w:r>
        <w:rPr/>
        <w:tab/>
        <w:t xml:space="preserve">To perfect standing, the injury alleged must be of a type contemplated and protected by pertinent statutes and rules governing the agency action.  </w:t>
      </w:r>
      <w:r>
        <w:rPr>
          <w:i/>
          <w:iCs/>
        </w:rPr>
        <w:t xml:space="preserve">E.g., Jane E. Buchanan, Gary D. Carruthers v. Orange County Department of Public Works and State of Florida Department of Environmental Regulation, </w:t>
      </w:r>
      <w:r>
        <w:rPr/>
        <w:t>— ER FALR —, 1980 Fla. ENV. LEXIS 8, at *4 (Fla. Dept. Env. Prot. 1980) (“these injuries are not within the zone of protected interests [of the rules regulating the issuance of a permit] and standing will not rest on them”).  As was discussed earlier, no rule identified by Broward County is implicated by the proposed permit issuance whatsoever.</w:t>
      </w:r>
      <w:r>
        <w:rPr>
          <w:rStyle w:val="FootnoteCharacters"/>
          <w:rStyle w:val="FootnoteReference"/>
        </w:rPr>
        <w:footnoteReference w:id="2"/>
      </w:r>
      <w:r>
        <w:rPr/>
        <w:t xml:space="preserve">  Broward County’s motion </w:t>
      </w:r>
      <w:r>
        <w:rPr>
          <w:i/>
          <w:iCs/>
        </w:rPr>
        <w:t xml:space="preserve">speculates </w:t>
      </w:r>
      <w:r>
        <w:rPr/>
        <w:t xml:space="preserve">about the potential for harm caused by diesel exhaust and other emissions, but never identifies a rule indicating that such emissions are violative of any Department rule, and never explains how those alleged emissions </w:t>
      </w:r>
      <w:r>
        <w:rPr>
          <w:i/>
          <w:iCs/>
        </w:rPr>
        <w:t>could</w:t>
      </w:r>
      <w:r>
        <w:rPr/>
        <w:t xml:space="preserve"> violate a rule when they do not fall within the group of pollutants and quantities thereof targeted for Department regulation by Table 212.400-2 in Chapter 62.  Contrary to Broward County’s naming of inapplicable rules and speculative harm, the identification of </w:t>
      </w:r>
      <w:r>
        <w:rPr>
          <w:i/>
          <w:iCs/>
        </w:rPr>
        <w:t xml:space="preserve">applicable </w:t>
      </w:r>
      <w:r>
        <w:rPr/>
        <w:t>Department rules that mandate</w:t>
      </w:r>
      <w:r>
        <w:rPr>
          <w:i/>
          <w:iCs/>
        </w:rPr>
        <w:t xml:space="preserve"> </w:t>
      </w:r>
      <w:r>
        <w:rPr/>
        <w:t xml:space="preserve">reversal or modification of the Department’s proposed permit is necessary.  </w:t>
      </w:r>
      <w:r>
        <w:rPr>
          <w:i/>
          <w:iCs/>
        </w:rPr>
        <w:t xml:space="preserve">See, e.g., Gary McIntyre, Alan Bainbridge and Mark Ryan, </w:t>
      </w:r>
      <w:r>
        <w:rPr/>
        <w:t xml:space="preserve">1997 WL 676986, at *1; </w:t>
      </w:r>
      <w:r>
        <w:rPr>
          <w:i/>
          <w:iCs/>
        </w:rPr>
        <w:t xml:space="preserve">Hernando County Port Authority v. Weeki Wachee Springs Florida Corporation and State of Florida Department of Environmental Regulation, </w:t>
      </w:r>
      <w:r>
        <w:rPr/>
        <w:t>90 ER FALR 148, 1990 Fla. ENV LEXIS 223, at *1-2 (Fla. Dept. Env. Prot. 1990) (identification of legally protected environmental interest required).</w:t>
      </w:r>
    </w:p>
    <w:p>
      <w:pPr>
        <w:pStyle w:val="Double"/>
        <w:jc w:val="both"/>
        <w:rPr/>
      </w:pPr>
      <w:r>
        <w:rPr/>
        <w:tab/>
        <w:t>Broward County’s general concerns about the surrounding community at large, including impacts upon the public’s enjoyment of recreation areas and concerns of increased traffic caused by “fuel oil delivery via trucks” (Broward County’s Motion at ¶¶14-19), are precisely the type of broad brush allegations that have been rejected as insufficient to confer standing:</w:t>
      </w:r>
    </w:p>
    <w:p>
      <w:pPr>
        <w:pStyle w:val="QuoteIndent"/>
        <w:rPr/>
      </w:pPr>
      <w:r>
        <w:rPr/>
        <w:t>Petitioners make some general conclusory allegations that they will be “adversely affected” by air pollution, noise, and dust created by the proposed plant, or that there will be impacts on the “use and enjoyment” of their property.  These general allegations are not sufficient, however, to serve as a basis to establish their standing to proceed.</w:t>
      </w:r>
    </w:p>
    <w:p>
      <w:pPr>
        <w:pStyle w:val="Double"/>
        <w:jc w:val="both"/>
        <w:rPr/>
      </w:pPr>
      <w:r>
        <w:rPr>
          <w:i/>
          <w:iCs/>
        </w:rPr>
        <w:t xml:space="preserve">Mary Woodhouse, </w:t>
      </w:r>
      <w:r>
        <w:rPr/>
        <w:t>00 ER FALR 089.</w:t>
      </w:r>
    </w:p>
    <w:p>
      <w:pPr>
        <w:pStyle w:val="Double"/>
        <w:jc w:val="both"/>
        <w:rPr/>
      </w:pPr>
      <w:r>
        <w:rPr/>
        <w:tab/>
        <w:t xml:space="preserve">Broward County must identify a </w:t>
      </w:r>
      <w:r>
        <w:rPr>
          <w:i/>
          <w:iCs/>
        </w:rPr>
        <w:t>legally protected</w:t>
      </w:r>
      <w:r>
        <w:rPr/>
        <w:t xml:space="preserve"> environmental interest that will be damaged.  Because Broward County never explains how the issuance of the permit will be in violation of an applicable statute or rule, the harm it discusses is “not within the zone of protected interests” and cannot serve as a basis for standing.</w:t>
      </w:r>
    </w:p>
    <w:p>
      <w:pPr>
        <w:pStyle w:val="Double"/>
        <w:jc w:val="both"/>
        <w:rPr/>
      </w:pPr>
      <w:r>
        <w:rPr/>
        <w:tab/>
      </w:r>
      <w:r>
        <w:rPr>
          <w:b/>
          <w:bCs/>
        </w:rPr>
        <w:t>C.</w:t>
        <w:tab/>
        <w:t>Particularized Harm.</w:t>
      </w:r>
    </w:p>
    <w:p>
      <w:pPr>
        <w:pStyle w:val="Double"/>
        <w:jc w:val="both"/>
        <w:rPr/>
      </w:pPr>
      <w:r>
        <w:rPr/>
        <w:tab/>
        <w:t xml:space="preserve">To perfect standing, the alleged harm must threaten </w:t>
      </w:r>
      <w:r>
        <w:rPr>
          <w:i/>
          <w:iCs/>
        </w:rPr>
        <w:t>the intervenor’s</w:t>
      </w:r>
      <w:r>
        <w:rPr/>
        <w:t xml:space="preserve"> interest, not that of a general nature applicable to the community as a whole.  Broward County has failed to identify with the requisite specificity any particularized harm that is in any way unique to it.  </w:t>
      </w:r>
      <w:r>
        <w:rPr>
          <w:i/>
          <w:iCs/>
        </w:rPr>
        <w:t xml:space="preserve">Robert and Betty Hausin, Petitioners v. Pompano Bay Dock Association and Florida Department of Environmental Protection, Respondents, </w:t>
      </w:r>
      <w:r>
        <w:rPr/>
        <w:t>— ER FALR —, 1993 WL 560880, at *1 (Fla. Dept. Env. Prot. 1993) (“This petition alleges that the project will have various adverse impacts but does not relate them to the petitioners’ own interests in environmental protection.”).  A party with standing would have to make specific allegations that it will</w:t>
      </w:r>
      <w:r>
        <w:rPr>
          <w:i/>
          <w:iCs/>
        </w:rPr>
        <w:t xml:space="preserve"> </w:t>
      </w:r>
      <w:r>
        <w:rPr/>
        <w:t xml:space="preserve">suffer a direct, immediate, and </w:t>
      </w:r>
      <w:r>
        <w:rPr>
          <w:i/>
          <w:iCs/>
        </w:rPr>
        <w:t>particularized</w:t>
      </w:r>
      <w:r>
        <w:rPr/>
        <w:t xml:space="preserve"> injury.  This requirement applies with equal force to a proceeding stemming from an intent to issue an air permit, as the Department has explained:</w:t>
      </w:r>
    </w:p>
    <w:p>
      <w:pPr>
        <w:pStyle w:val="QuoteIndent"/>
        <w:rPr/>
      </w:pPr>
      <w:r>
        <w:rPr/>
        <w:t>[120.57] is applicable </w:t>
      </w:r>
      <w:r>
        <w:rPr>
          <w:sz w:val="28"/>
        </w:rPr>
        <w:t>. . . </w:t>
      </w:r>
      <w:r>
        <w:rPr/>
        <w:t xml:space="preserve">in matters involving environmental permitting determinations, only when </w:t>
      </w:r>
      <w:r>
        <w:rPr>
          <w:i/>
          <w:iCs/>
        </w:rPr>
        <w:t>that</w:t>
      </w:r>
      <w:r>
        <w:rPr/>
        <w:t xml:space="preserve"> party’s environmental interests are substantially affected in a manner different than the general public.  </w:t>
      </w:r>
      <w:r>
        <w:rPr>
          <w:i/>
          <w:iCs/>
        </w:rPr>
        <w:t xml:space="preserve">See Grove Isle Ltd. v. Bayshore Homeowner’s Association, Inc., </w:t>
      </w:r>
      <w:r>
        <w:rPr/>
        <w:t xml:space="preserve">418 So. 2d 1046, 1047-48 (Fla. 1st DCA 1982).  In order to initiate a Section 120.57(1), F.S., proceeding, Petitioner must allege that </w:t>
      </w:r>
      <w:r>
        <w:rPr>
          <w:i/>
          <w:iCs/>
        </w:rPr>
        <w:t>it has environmental interests, different from the general public at large</w:t>
      </w:r>
      <w:r>
        <w:rPr/>
        <w:t>, which will be substantially affected by the department’s proposed decision to issue the subject air pollution permit . . . .</w:t>
      </w:r>
    </w:p>
    <w:p>
      <w:pPr>
        <w:pStyle w:val="QuoteIndent"/>
        <w:rPr/>
      </w:pPr>
      <w:r>
        <w:rPr/>
        <w:t xml:space="preserve">Therefore, Petitioner’s request for administrative proceeding, pursuant to Section 120.57(1), F.S., is dependent upon whether petitioner has alleged the proposed construction will substantially affect environmental concerns </w:t>
      </w:r>
      <w:r>
        <w:rPr>
          <w:i/>
          <w:iCs/>
        </w:rPr>
        <w:t xml:space="preserve">of Petitioner </w:t>
      </w:r>
      <w:r>
        <w:rPr/>
        <w:t>which are different from than [</w:t>
      </w:r>
      <w:r>
        <w:rPr>
          <w:i/>
          <w:iCs/>
        </w:rPr>
        <w:t>sic</w:t>
      </w:r>
      <w:r>
        <w:rPr/>
        <w:t xml:space="preserve">] the general public.  This Petitioner has not [so] alleged.  In paragraph 12 of its petition, Ryan Sales and Services, Inc. alleges that the applicant has failed to provide reasonable assurances that the project will not violate applicable standards of Chapters 17-2 and 17-4, Florida Administrative Code.  Petitioner also alleges that this failure will result in “impairing, polluting or otherwise injuring the air resources of the state.”  However, Petitioner omits any claim that the issuance of this permit will substantially affect </w:t>
      </w:r>
      <w:r>
        <w:rPr>
          <w:i/>
          <w:iCs/>
        </w:rPr>
        <w:t>Petitioner’s environmental concerns</w:t>
      </w:r>
      <w:r>
        <w:rPr/>
        <w:t>, such as air quality for example, any differently than the general public of Florida.  Thus, Petitioner fails to allege it has standing to initiate an administrative proceeding, pursuant to Section 120.57(1), Florida Statutes.</w:t>
      </w:r>
    </w:p>
    <w:p>
      <w:pPr>
        <w:pStyle w:val="Double"/>
        <w:jc w:val="both"/>
        <w:rPr/>
      </w:pPr>
      <w:r>
        <w:rPr>
          <w:i/>
          <w:iCs/>
        </w:rPr>
        <w:t>Ryan Sales and Services, Inc. v. Saint Lucie Incineration, Nick Stewart and Department of Environmental Regulation, </w:t>
      </w:r>
      <w:r>
        <w:rPr/>
        <w:t>— FALR — 1986 Fla. ENV LEXIS 4 (Fla. Dept. Env. Prot. 1986) (emphasis supplied).</w:t>
      </w:r>
    </w:p>
    <w:p>
      <w:pPr>
        <w:pStyle w:val="Double"/>
        <w:jc w:val="both"/>
        <w:rPr/>
      </w:pPr>
      <w:r>
        <w:rPr/>
        <w:tab/>
        <w:t>Applying the particularized harm requirement to Broward County’s motion, it is clear that the “concern” surrounding start-up and shut-down emissions, along with the other general “issues” raised, are never narrowed beyond that which may be sustained by the public in general:</w:t>
      </w:r>
    </w:p>
    <w:p>
      <w:pPr>
        <w:pStyle w:val="QuoteIndent"/>
        <w:rPr/>
      </w:pPr>
      <w:r>
        <w:rPr/>
        <w:t xml:space="preserve">[Petitioners have not] demonstrated that they will suffer any special injury from the proposed pipeline project.  Such “special injury,” </w:t>
      </w:r>
      <w:r>
        <w:rPr>
          <w:i/>
          <w:iCs/>
        </w:rPr>
        <w:t>beyond that which might be sustained by the public in general, is necessary to confer standing</w:t>
      </w:r>
      <w:r>
        <w:rPr/>
        <w:t xml:space="preserve"> under the Florida Administrative Procedure Act to challenge the Department’s preliminary action in issuing the Notice of Intent to grant Buckeye’s permit application.</w:t>
      </w:r>
    </w:p>
    <w:p>
      <w:pPr>
        <w:pStyle w:val="Double"/>
        <w:jc w:val="both"/>
        <w:rPr/>
      </w:pPr>
      <w:r>
        <w:rPr>
          <w:i/>
          <w:iCs/>
        </w:rPr>
        <w:t>Joyce T. Cummings, Sharon Cutter, Ronnie Edwards, Rebecca Edwards and Mitchell Edwards v. Department of Environmental Protection and Buckeye Florida, L.P</w:t>
      </w:r>
      <w:r>
        <w:rPr/>
        <w:t xml:space="preserve">., — ER FALR —, 1997 WL 676746, *8 (Fla. Dept. Env. Prot. 1997) (emphasis supplied, citations omitted).  Broward County’s allegations about potential start-up emissions are entirely speculative and fail to invest it with standing for the same reasons that a general allegation that solid sulphur emissions were “environmentally regressive” was held to be insufficient to invest a petitioner with standing.  </w:t>
      </w:r>
      <w:r>
        <w:rPr>
          <w:i/>
          <w:iCs/>
        </w:rPr>
        <w:t>Agrico Chemical</w:t>
      </w:r>
      <w:r>
        <w:rPr/>
        <w:t xml:space="preserve">, 406 So. 2d at 481 n.3.  </w:t>
      </w:r>
    </w:p>
    <w:p>
      <w:pPr>
        <w:pStyle w:val="Double"/>
        <w:jc w:val="both"/>
        <w:rPr/>
      </w:pPr>
      <w:r>
        <w:rPr/>
        <w:tab/>
        <w:t>Because Broward County’s motion never identifies any particularized harm it will suffer from the proposed issuance, much less one within the zone of interests protected by the governing rules, the allegations contained within the motion are insufficient to invest Broward County with standing to participate in the formal administrative proceeding.</w:t>
      </w:r>
    </w:p>
    <w:p>
      <w:pPr>
        <w:pStyle w:val="Double"/>
        <w:jc w:val="center"/>
        <w:rPr>
          <w:b/>
          <w:bCs/>
          <w:smallCaps/>
        </w:rPr>
      </w:pPr>
      <w:r>
        <w:rPr>
          <w:b/>
          <w:bCs/>
          <w:smallCaps/>
        </w:rPr>
        <w:t>Conclusion</w:t>
      </w:r>
    </w:p>
    <w:p>
      <w:pPr>
        <w:pStyle w:val="Double"/>
        <w:jc w:val="both"/>
        <w:rPr/>
      </w:pPr>
      <w:r>
        <w:rPr/>
        <w:tab/>
        <w:t>For the foregoing reasons, Pompano Beach Energy Center respectfully requests that the administrative law judge deny Broward County’s motion to intervene.</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keepNext w:val="true"/>
              <w:keepLines/>
              <w:rPr/>
            </w:pPr>
            <w:r>
              <w:rPr/>
              <w:t>Respectfully submitted,</w:t>
            </w:r>
          </w:p>
          <w:p>
            <w:pPr>
              <w:pStyle w:val="Normal"/>
              <w:keepNext w:val="true"/>
              <w:keepLines/>
              <w:rPr/>
            </w:pPr>
            <w:r>
              <w:rPr/>
            </w:r>
          </w:p>
          <w:p>
            <w:pPr>
              <w:pStyle w:val="Normal"/>
              <w:keepLines/>
              <w:rPr/>
            </w:pPr>
            <w:r>
              <w:rPr/>
              <w:t>Debbie M. Orshefsky, Esq.</w:t>
            </w:r>
          </w:p>
          <w:p>
            <w:pPr>
              <w:pStyle w:val="Normal"/>
              <w:keepLines/>
              <w:rPr/>
            </w:pPr>
            <w:r>
              <w:rPr>
                <w:rFonts w:eastAsia="CG Times"/>
              </w:rPr>
              <w:t xml:space="preserve">  </w:t>
            </w:r>
            <w:r>
              <w:rPr/>
              <w:t>Florida Bar No. 292869</w:t>
            </w:r>
          </w:p>
          <w:p>
            <w:pPr>
              <w:pStyle w:val="Normal"/>
              <w:keepLines/>
              <w:rPr/>
            </w:pPr>
            <w:r>
              <w:rPr/>
              <w:t>Kerri L. Barsh, Esq.</w:t>
            </w:r>
          </w:p>
          <w:p>
            <w:pPr>
              <w:pStyle w:val="Normal"/>
              <w:keepLines/>
              <w:rPr/>
            </w:pPr>
            <w:r>
              <w:rPr>
                <w:rFonts w:eastAsia="CG Times"/>
              </w:rPr>
              <w:t xml:space="preserve">  </w:t>
            </w:r>
            <w:r>
              <w:rPr/>
              <w:t>Florida Bar No. 443840</w:t>
            </w:r>
          </w:p>
          <w:p>
            <w:pPr>
              <w:pStyle w:val="Normal"/>
              <w:keepLines/>
              <w:rPr/>
            </w:pPr>
            <w:r>
              <w:rPr/>
              <w:t>Paul C. Savage, Esq.</w:t>
            </w:r>
          </w:p>
          <w:p>
            <w:pPr>
              <w:pStyle w:val="Normal"/>
              <w:keepLines/>
              <w:rPr/>
            </w:pPr>
            <w:r>
              <w:rPr>
                <w:rFonts w:eastAsia="CG Times"/>
              </w:rPr>
              <w:t xml:space="preserve">  </w:t>
            </w:r>
            <w:r>
              <w:rPr/>
              <w:t>Florida Bar No. 088587</w:t>
            </w:r>
          </w:p>
          <w:p>
            <w:pPr>
              <w:pStyle w:val="Normal"/>
              <w:keepLines/>
              <w:rPr/>
            </w:pPr>
            <w:r>
              <w:rPr/>
              <w:t>Greenberg Traurig, P.A.</w:t>
            </w:r>
          </w:p>
          <w:p>
            <w:pPr>
              <w:pStyle w:val="Normal"/>
              <w:keepLines/>
              <w:rPr/>
            </w:pPr>
            <w:r>
              <w:rPr/>
              <w:t>1221 Brickell Avenue</w:t>
            </w:r>
          </w:p>
          <w:p>
            <w:pPr>
              <w:pStyle w:val="Normal"/>
              <w:keepLines/>
              <w:rPr/>
            </w:pPr>
            <w:r>
              <w:rPr/>
              <w:t>Miami, Florida 33131</w:t>
            </w:r>
          </w:p>
          <w:p>
            <w:pPr>
              <w:pStyle w:val="Normal"/>
              <w:keepLines/>
              <w:rPr/>
            </w:pPr>
            <w:r>
              <w:rPr/>
              <w:t>Telephone:  (305) 579-0500</w:t>
            </w:r>
          </w:p>
          <w:p>
            <w:pPr>
              <w:pStyle w:val="Normal"/>
              <w:keepLines/>
              <w:rPr/>
            </w:pPr>
            <w:r>
              <w:rPr/>
              <w:t>Facsimile:  (305) 579-0723</w:t>
            </w:r>
          </w:p>
          <w:p>
            <w:pPr>
              <w:pStyle w:val="Normal"/>
              <w:keepLines/>
              <w:rPr/>
            </w:pPr>
            <w:r>
              <w:rPr/>
            </w:r>
          </w:p>
          <w:p>
            <w:pPr>
              <w:pStyle w:val="Normal"/>
              <w:keepLines/>
              <w:tabs>
                <w:tab w:val="clear" w:pos="5040"/>
                <w:tab w:val="left" w:pos="720" w:leader="none"/>
                <w:tab w:val="left" w:pos="1440" w:leader="none"/>
                <w:tab w:val="left" w:pos="2160" w:leader="none"/>
                <w:tab w:val="left" w:pos="4302" w:leader="none"/>
              </w:tabs>
              <w:rPr/>
            </w:pPr>
            <w:r>
              <w:rPr/>
              <w:t>By:</w:t>
            </w:r>
            <w:r>
              <w:rPr>
                <w:u w:val="single"/>
              </w:rPr>
              <w:tab/>
              <w:tab/>
              <w:tab/>
              <w:tab/>
            </w:r>
          </w:p>
          <w:p>
            <w:pPr>
              <w:pStyle w:val="Normal"/>
              <w:keepLines/>
              <w:jc w:val="center"/>
              <w:rPr/>
            </w:pPr>
            <w:r>
              <w:rPr/>
              <w:t>Kerri L. Barsh</w:t>
            </w:r>
          </w:p>
          <w:p>
            <w:pPr>
              <w:pStyle w:val="Normal"/>
              <w:keepLines/>
              <w:rPr/>
            </w:pPr>
            <w:r>
              <w:rPr/>
            </w:r>
          </w:p>
          <w:p>
            <w:pPr>
              <w:pStyle w:val="Normal"/>
              <w:keepLines/>
              <w:rPr>
                <w:i/>
                <w:i/>
              </w:rPr>
            </w:pPr>
            <w:r>
              <w:rPr>
                <w:i/>
              </w:rPr>
              <w:t>Counsel for Pompano Beach Energy, L.L.C.</w:t>
            </w:r>
          </w:p>
          <w:p>
            <w:pPr>
              <w:pStyle w:val="Normal"/>
              <w:rPr/>
            </w:pPr>
            <w:r>
              <w:rPr/>
            </w:r>
          </w:p>
        </w:tc>
      </w:tr>
    </w:tbl>
    <w:p>
      <w:pPr>
        <w:pStyle w:val="CenteredHdg"/>
        <w:spacing w:before="240" w:after="120"/>
        <w:rPr/>
      </w:pPr>
      <w:r>
        <w:rPr/>
        <w:t>CERTIFICATE OF SERVICE</w:t>
      </w:r>
    </w:p>
    <w:p>
      <w:pPr>
        <w:pStyle w:val="Double"/>
        <w:spacing w:before="0" w:after="120"/>
        <w:jc w:val="both"/>
        <w:rPr/>
      </w:pPr>
      <w:r>
        <w:rPr/>
        <w:tab/>
        <w:t>I certify that a copy of this response to Broward County’s motion to intervene was sent by overnight courier to Administrative Law Judge Charles A. Stampelos and the Clerk of the State of Florida Division of Administrative Hearings, The Desoto Building, 1230 Apalachee Parkway, Tallahassee, Florida 32399-3060 and by U.S. Mail on August ___, 2001 to:</w:t>
      </w:r>
    </w:p>
    <w:p>
      <w:pPr>
        <w:pStyle w:val="Double"/>
        <w:spacing w:before="0" w:after="120"/>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t>Martha L. Nebelsiek, Esq.</w:t>
            </w:r>
          </w:p>
          <w:p>
            <w:pPr>
              <w:pStyle w:val="Normal"/>
              <w:rPr/>
            </w:pPr>
            <w:r>
              <w:rPr/>
              <w:t>Department of Environmental Protection</w:t>
            </w:r>
          </w:p>
          <w:p>
            <w:pPr>
              <w:pStyle w:val="Normal"/>
              <w:rPr/>
            </w:pPr>
            <w:r>
              <w:rPr/>
              <w:t>3900 Commonwealth Boulevard</w:t>
            </w:r>
          </w:p>
          <w:p>
            <w:pPr>
              <w:pStyle w:val="Normal"/>
              <w:rPr/>
            </w:pPr>
            <w:r>
              <w:rPr/>
              <w:t xml:space="preserve">Tallahassee, Florida  32399-3000 </w:t>
            </w:r>
          </w:p>
          <w:p>
            <w:pPr>
              <w:pStyle w:val="Normal"/>
              <w:rPr/>
            </w:pPr>
            <w:r>
              <w:rPr/>
            </w:r>
          </w:p>
        </w:tc>
        <w:tc>
          <w:tcPr>
            <w:tcW w:w="4788" w:type="dxa"/>
            <w:tcBorders/>
          </w:tcPr>
          <w:p>
            <w:pPr>
              <w:pStyle w:val="Normal"/>
              <w:rPr/>
            </w:pPr>
            <w:r>
              <w:rPr/>
              <w:t>John Hearn, Esq.</w:t>
            </w:r>
          </w:p>
          <w:p>
            <w:pPr>
              <w:pStyle w:val="Normal"/>
              <w:rPr/>
            </w:pPr>
            <w:r>
              <w:rPr/>
              <w:t>City of Coral Springs</w:t>
            </w:r>
          </w:p>
          <w:p>
            <w:pPr>
              <w:pStyle w:val="Normal"/>
              <w:rPr/>
            </w:pPr>
            <w:r>
              <w:rPr/>
              <w:t>9551 West Sample Road</w:t>
            </w:r>
          </w:p>
          <w:p>
            <w:pPr>
              <w:pStyle w:val="Normal"/>
              <w:rPr/>
            </w:pPr>
            <w:r>
              <w:rPr/>
              <w:t>Coral Springs, Florida  33065</w:t>
            </w:r>
          </w:p>
        </w:tc>
      </w:tr>
      <w:tr>
        <w:trPr/>
        <w:tc>
          <w:tcPr>
            <w:tcW w:w="4788" w:type="dxa"/>
            <w:tcBorders/>
          </w:tcPr>
          <w:p>
            <w:pPr>
              <w:pStyle w:val="Normal"/>
              <w:rPr/>
            </w:pPr>
            <w:r>
              <w:rPr/>
              <w:t>Eugene M. Steinfield, Esq.</w:t>
            </w:r>
          </w:p>
          <w:p>
            <w:pPr>
              <w:pStyle w:val="Normal"/>
              <w:rPr/>
            </w:pPr>
            <w:r>
              <w:rPr/>
              <w:t>City of Margate</w:t>
            </w:r>
          </w:p>
          <w:p>
            <w:pPr>
              <w:pStyle w:val="Normal"/>
              <w:rPr/>
            </w:pPr>
            <w:r>
              <w:rPr/>
              <w:t>5790 Margate Boulevard</w:t>
            </w:r>
          </w:p>
          <w:p>
            <w:pPr>
              <w:pStyle w:val="Normal"/>
              <w:rPr/>
            </w:pPr>
            <w:r>
              <w:rPr/>
              <w:t>Margate, Florida  33063</w:t>
            </w:r>
          </w:p>
          <w:p>
            <w:pPr>
              <w:pStyle w:val="Normal"/>
              <w:rPr/>
            </w:pPr>
            <w:r>
              <w:rPr/>
            </w:r>
          </w:p>
        </w:tc>
        <w:tc>
          <w:tcPr>
            <w:tcW w:w="4788" w:type="dxa"/>
            <w:tcBorders/>
          </w:tcPr>
          <w:p>
            <w:pPr>
              <w:pStyle w:val="Normal"/>
              <w:rPr/>
            </w:pPr>
            <w:r>
              <w:rPr/>
              <w:t>Paul S. Stuart, Esq.</w:t>
            </w:r>
          </w:p>
          <w:p>
            <w:pPr>
              <w:pStyle w:val="Normal"/>
              <w:rPr/>
            </w:pPr>
            <w:r>
              <w:rPr/>
              <w:t>P.O. Box 14004</w:t>
            </w:r>
          </w:p>
          <w:p>
            <w:pPr>
              <w:pStyle w:val="Normal"/>
              <w:rPr/>
            </w:pPr>
            <w:r>
              <w:rPr/>
              <w:t>Fort Lauderdale, Florida  33302</w:t>
            </w:r>
          </w:p>
        </w:tc>
      </w:tr>
      <w:tr>
        <w:trPr/>
        <w:tc>
          <w:tcPr>
            <w:tcW w:w="4788" w:type="dxa"/>
            <w:tcBorders/>
          </w:tcPr>
          <w:p>
            <w:pPr>
              <w:pStyle w:val="Normal"/>
              <w:rPr/>
            </w:pPr>
            <w:r>
              <w:rPr/>
              <w:t>Nancy A. Cousins, Esq.</w:t>
            </w:r>
          </w:p>
          <w:p>
            <w:pPr>
              <w:pStyle w:val="Normal"/>
              <w:rPr/>
            </w:pPr>
            <w:r>
              <w:rPr/>
              <w:t>City of Coconut Creek</w:t>
            </w:r>
          </w:p>
          <w:p>
            <w:pPr>
              <w:pStyle w:val="Normal"/>
              <w:rPr/>
            </w:pPr>
            <w:r>
              <w:rPr/>
              <w:t>4800 West Copans Road</w:t>
            </w:r>
          </w:p>
          <w:p>
            <w:pPr>
              <w:pStyle w:val="Normal"/>
              <w:rPr/>
            </w:pPr>
            <w:r>
              <w:rPr/>
              <w:t>Coconut Creek, Florida  33063</w:t>
            </w:r>
          </w:p>
          <w:p>
            <w:pPr>
              <w:pStyle w:val="Normal"/>
              <w:rPr/>
            </w:pPr>
            <w:r>
              <w:rPr/>
            </w:r>
          </w:p>
        </w:tc>
        <w:tc>
          <w:tcPr>
            <w:tcW w:w="4788" w:type="dxa"/>
            <w:tcBorders/>
          </w:tcPr>
          <w:p>
            <w:pPr>
              <w:pStyle w:val="Normal"/>
              <w:snapToGrid w:val="false"/>
              <w:rPr/>
            </w:pPr>
            <w:r>
              <w:rPr/>
            </w:r>
          </w:p>
        </w:tc>
      </w:tr>
    </w:tbl>
    <w:p>
      <w:pPr>
        <w:pStyle w:val="Normal"/>
        <w:rPr/>
      </w:pPr>
      <w:r>
        <w:rPr/>
      </w:r>
    </w:p>
    <w:p>
      <w:pPr>
        <w:pStyle w:val="SignBlock"/>
        <w:rPr/>
      </w:pPr>
      <w:r>
        <w:rPr/>
        <w:tab/>
      </w:r>
      <w:r>
        <w:rPr>
          <w:u w:val="single"/>
        </w:rPr>
        <w:tab/>
        <w:tab/>
      </w:r>
    </w:p>
    <w:p>
      <w:pPr>
        <w:pStyle w:val="SignBlock"/>
        <w:rPr/>
      </w:pPr>
      <w:r>
        <w:rPr/>
        <w:tab/>
        <w:tab/>
        <w:t>Kerri L. Barsh</w:t>
      </w:r>
    </w:p>
    <w:p>
      <w:pPr>
        <w:pStyle w:val="SignBlock"/>
        <w:spacing w:before="720" w:after="0"/>
        <w:rPr>
          <w:sz w:val="12"/>
        </w:rPr>
      </w:pPr>
      <w:bookmarkStart w:id="0" w:name="lpDocsInfo"/>
      <w:r>
        <w:rPr>
          <w:sz w:val="12"/>
        </w:rPr>
        <w:fldChar w:fldCharType="begin"/>
      </w:r>
      <w:r>
        <w:rPr>
          <w:sz w:val="12"/>
        </w:rPr>
        <w:instrText xml:space="preserve"> DOCPROPERTY "gtTagLine"</w:instrText>
      </w:r>
      <w:r>
        <w:rPr>
          <w:sz w:val="12"/>
        </w:rPr>
        <w:fldChar w:fldCharType="separate"/>
      </w:r>
      <w:r>
        <w:rPr>
          <w:sz w:val="12"/>
        </w:rPr>
        <w:t>\\MIA-SRV01\SAVAGEP\1330585v01\S$_P01!.DOC\8/10/01\42292.011300</w:t>
      </w:r>
      <w:r>
        <w:rPr>
          <w:sz w:val="12"/>
        </w:rPr>
        <w:fldChar w:fldCharType="end"/>
      </w:r>
      <w:bookmarkEnd w:id="0"/>
    </w:p>
    <w:sectPr>
      <w:footerReference w:type="default" r:id="rId2"/>
      <w:footerReference w:type="first" r:id="rId3"/>
      <w:footnotePr>
        <w:numFmt w:val="decimal"/>
      </w:footnotePr>
      <w:type w:val="nextPage"/>
      <w:pgSz w:w="12240" w:h="15840"/>
      <w:pgMar w:left="1440" w:right="1440" w:gutter="0" w:header="0" w:top="1440" w:footer="93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G Times Bold">
    <w:altName w:val="Times New Roman"/>
    <w:charset w:val="00" w:characterSet="windows-1252"/>
    <w:family w:val="roman"/>
    <w:pitch w:val="default"/>
  </w:font>
  <w:font w:name="Liberation Sans">
    <w:altName w:val="Arial"/>
    <w:charset w:val="01" w:characterSet="utf-8"/>
    <w:family w:val="swiss"/>
    <w:pitch w:val="variable"/>
  </w:font>
  <w:font w:name="Calisto M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rPr/>
                          </w:pPr>
                          <w:r>
                            <w:rPr/>
                            <w:fldChar w:fldCharType="begin"/>
                          </w:r>
                          <w:r>
                            <w:rPr/>
                            <w:instrText xml:space="preserve"> PAGE </w:instrText>
                          </w:r>
                          <w:r>
                            <w:rPr/>
                            <w:fldChar w:fldCharType="separate"/>
                          </w:r>
                          <w:r>
                            <w:rPr/>
                            <w:t>13</w:t>
                          </w:r>
                          <w: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Normal"/>
                      <w:rPr/>
                    </w:pPr>
                    <w:r>
                      <w:rPr/>
                      <w:fldChar w:fldCharType="begin"/>
                    </w:r>
                    <w:r>
                      <w:rPr/>
                      <w:instrText xml:space="preserve"> PAGE </w:instrText>
                    </w:r>
                    <w:r>
                      <w:rPr/>
                      <w:fldChar w:fldCharType="separate"/>
                    </w:r>
                    <w:r>
                      <w:rPr/>
                      <w:t>13</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720" w:start="720" w:end="0"/>
        <w:rPr/>
      </w:pPr>
      <w:r>
        <w:rPr>
          <w:rStyle w:val="FootnoteCharacters"/>
        </w:rPr>
        <w:footnoteRef/>
      </w:r>
      <w:r>
        <w:rPr/>
        <w:t xml:space="preserve"> </w:t>
      </w:r>
      <w:r>
        <w:rPr/>
        <w:tab/>
        <w:t>The pleading requirements imposed by Section 120.54(5) of the Florida Statutes and by Rule 28-106.201(2) codify many of the standing concepts from the common law.  As a result, Broward County’s failure to satisfy the rule-imposed requirements — as outlined previously — also reveals its lack of standing under the case law.</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pStyle w:val="Heading2"/>
      <w:numFmt w:val="upperLetter"/>
      <w:lvlText w:val="%2."/>
      <w:lvlJc w:val="start"/>
      <w:pPr>
        <w:tabs>
          <w:tab w:val="num" w:pos="1440"/>
        </w:tabs>
        <w:ind w:start="1440" w:hanging="720"/>
      </w:pPr>
      <w:rPr/>
    </w:lvl>
    <w:lvl w:ilvl="2">
      <w:start w:val="1"/>
      <w:pStyle w:val="Heading3"/>
      <w:numFmt w:val="decimal"/>
      <w:lvlText w:val="(%3)"/>
      <w:lvlJc w:val="start"/>
      <w:pPr>
        <w:tabs>
          <w:tab w:val="num" w:pos="2160"/>
        </w:tabs>
        <w:ind w:start="2160" w:hanging="720"/>
      </w:pPr>
      <w:rPr/>
    </w:lvl>
    <w:lvl w:ilvl="3">
      <w:start w:val="1"/>
      <w:pStyle w:val="Heading4"/>
      <w:numFmt w:val="lowerLetter"/>
      <w:lvlText w:val="(%4)"/>
      <w:lvlJc w:val="start"/>
      <w:pPr>
        <w:tabs>
          <w:tab w:val="num" w:pos="2880"/>
        </w:tabs>
        <w:ind w:start="2880" w:hanging="720"/>
      </w:pPr>
      <w:rPr/>
    </w:lvl>
    <w:lvl w:ilvl="4">
      <w:start w:val="1"/>
      <w:pStyle w:val="Heading5"/>
      <w:numFmt w:val="lowerRoman"/>
      <w:lvlText w:val="(%5)"/>
      <w:lvlJc w:val="start"/>
      <w:pPr>
        <w:tabs>
          <w:tab w:val="num" w:pos="3600"/>
        </w:tabs>
        <w:ind w:start="3600" w:hanging="720"/>
      </w:pPr>
      <w:rPr/>
    </w:lvl>
    <w:lvl w:ilvl="5">
      <w:start w:val="1"/>
      <w:pStyle w:val="Heading6"/>
      <w:numFmt w:val="decimal"/>
      <w:lvlText w:val="%6."/>
      <w:lvlJc w:val="start"/>
      <w:pPr>
        <w:tabs>
          <w:tab w:val="num" w:pos="4320"/>
        </w:tabs>
        <w:ind w:start="4320" w:hanging="720"/>
      </w:pPr>
      <w:rPr/>
    </w:lvl>
    <w:lvl w:ilvl="6">
      <w:start w:val="1"/>
      <w:pStyle w:val="Heading7"/>
      <w:numFmt w:val="lowerLetter"/>
      <w:lvlText w:val="%7."/>
      <w:lvlJc w:val="start"/>
      <w:pPr>
        <w:tabs>
          <w:tab w:val="num" w:pos="5040"/>
        </w:tabs>
        <w:ind w:start="5040" w:hanging="720"/>
      </w:pPr>
      <w:rPr/>
    </w:lvl>
    <w:lvl w:ilvl="7">
      <w:start w:val="1"/>
      <w:pStyle w:val="Heading8"/>
      <w:numFmt w:val="lowerRoman"/>
      <w:lvlText w:val="%8."/>
      <w:lvlJc w:val="start"/>
      <w:pPr>
        <w:tabs>
          <w:tab w:val="num" w:pos="5760"/>
        </w:tabs>
        <w:ind w:start="5760" w:hanging="720"/>
      </w:pPr>
      <w:rPr/>
    </w:lvl>
    <w:lvl w:ilvl="8">
      <w:start w:val="1"/>
      <w:pStyle w:val="Heading9"/>
      <w:numFmt w:val="decimal"/>
      <w:lvlText w:val="%9)"/>
      <w:lvlJc w:val="start"/>
      <w:pPr>
        <w:tabs>
          <w:tab w:val="num" w:pos="6480"/>
        </w:tabs>
        <w:ind w:start="6480" w:hanging="720"/>
      </w:pPr>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gtTLAUPref" w:val="0"/>
    <w:docVar w:name="gtTLDlgPref" w:val="Last page;36 points;Left;6;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5040" w:leader="none"/>
      </w:tabs>
      <w:suppressAutoHyphens w:val="true"/>
      <w:bidi w:val="0"/>
    </w:pPr>
    <w:rPr>
      <w:rFonts w:ascii="CG Times" w:hAnsi="CG Times" w:eastAsia="Times New Roman" w:cs="CG Times"/>
      <w:color w:val="auto"/>
      <w:sz w:val="24"/>
      <w:szCs w:val="24"/>
      <w:lang w:val="en-US" w:bidi="ar-SA" w:eastAsia="zh-CN"/>
    </w:rPr>
  </w:style>
  <w:style w:type="paragraph" w:styleId="Heading1">
    <w:name w:val="heading 1"/>
    <w:basedOn w:val="Normal"/>
    <w:next w:val="Double"/>
    <w:qFormat/>
    <w:pPr>
      <w:keepNext w:val="true"/>
      <w:numPr>
        <w:ilvl w:val="0"/>
        <w:numId w:val="1"/>
      </w:numPr>
      <w:spacing w:before="0" w:after="120"/>
      <w:ind w:hanging="0" w:start="0" w:end="720"/>
      <w:outlineLvl w:val="0"/>
    </w:pPr>
    <w:rPr>
      <w:rFonts w:ascii="CG Times Bold;Times New Roman" w:hAnsi="CG Times Bold;Times New Roman" w:cs="CG Times Bold;Times New Roman"/>
      <w:b/>
    </w:rPr>
  </w:style>
  <w:style w:type="paragraph" w:styleId="Heading2">
    <w:name w:val="heading 2"/>
    <w:basedOn w:val="Heading1"/>
    <w:next w:val="Double"/>
    <w:qFormat/>
    <w:pPr>
      <w:numPr>
        <w:ilvl w:val="1"/>
        <w:numId w:val="1"/>
      </w:numPr>
      <w:tabs>
        <w:tab w:val="left" w:pos="360" w:leader="none"/>
        <w:tab w:val="left" w:pos="720" w:leader="none"/>
        <w:tab w:val="left" w:pos="1440" w:leader="none"/>
        <w:tab w:val="left" w:pos="2160" w:leader="none"/>
        <w:tab w:val="left" w:pos="5040" w:leader="none"/>
      </w:tabs>
      <w:ind w:hanging="0" w:start="720" w:end="720"/>
      <w:outlineLvl w:val="1"/>
    </w:pPr>
    <w:rPr/>
  </w:style>
  <w:style w:type="paragraph" w:styleId="Heading3">
    <w:name w:val="heading 3"/>
    <w:basedOn w:val="Heading2"/>
    <w:next w:val="Double"/>
    <w:qFormat/>
    <w:pPr>
      <w:numPr>
        <w:ilvl w:val="2"/>
        <w:numId w:val="1"/>
      </w:numPr>
      <w:outlineLvl w:val="2"/>
    </w:pPr>
    <w:rPr/>
  </w:style>
  <w:style w:type="paragraph" w:styleId="Heading4">
    <w:name w:val="heading 4"/>
    <w:basedOn w:val="Heading3"/>
    <w:next w:val="Double"/>
    <w:qFormat/>
    <w:pPr>
      <w:numPr>
        <w:ilvl w:val="3"/>
        <w:numId w:val="1"/>
      </w:numPr>
      <w:outlineLvl w:val="3"/>
    </w:pPr>
    <w:rPr/>
  </w:style>
  <w:style w:type="paragraph" w:styleId="Heading5">
    <w:name w:val="heading 5"/>
    <w:basedOn w:val="Heading1"/>
    <w:next w:val="Double"/>
    <w:qFormat/>
    <w:pPr>
      <w:numPr>
        <w:ilvl w:val="4"/>
        <w:numId w:val="1"/>
      </w:numPr>
      <w:outlineLvl w:val="4"/>
    </w:pPr>
    <w:rPr/>
  </w:style>
  <w:style w:type="paragraph" w:styleId="Heading6">
    <w:name w:val="heading 6"/>
    <w:basedOn w:val="Heading1"/>
    <w:next w:val="Double"/>
    <w:qFormat/>
    <w:pPr>
      <w:numPr>
        <w:ilvl w:val="5"/>
        <w:numId w:val="1"/>
      </w:numPr>
      <w:outlineLvl w:val="5"/>
    </w:pPr>
    <w:rPr/>
  </w:style>
  <w:style w:type="paragraph" w:styleId="Heading7">
    <w:name w:val="heading 7"/>
    <w:basedOn w:val="Heading6"/>
    <w:next w:val="Double"/>
    <w:qFormat/>
    <w:pPr>
      <w:numPr>
        <w:ilvl w:val="6"/>
        <w:numId w:val="1"/>
      </w:numPr>
      <w:outlineLvl w:val="6"/>
    </w:pPr>
    <w:rPr/>
  </w:style>
  <w:style w:type="paragraph" w:styleId="Heading8">
    <w:name w:val="heading 8"/>
    <w:basedOn w:val="Heading7"/>
    <w:next w:val="Double"/>
    <w:qFormat/>
    <w:pPr>
      <w:numPr>
        <w:ilvl w:val="7"/>
        <w:numId w:val="1"/>
      </w:numPr>
      <w:outlineLvl w:val="7"/>
    </w:pPr>
    <w:rPr/>
  </w:style>
  <w:style w:type="paragraph" w:styleId="Heading9">
    <w:name w:val="heading 9"/>
    <w:basedOn w:val="Heading8"/>
    <w:next w:val="Double"/>
    <w:qFormat/>
    <w:pPr>
      <w:numPr>
        <w:ilvl w:val="8"/>
        <w:numId w:val="1"/>
      </w:numPr>
      <w:outlineLvl w:val="8"/>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rFonts w:ascii="CG Times" w:hAnsi="CG Times" w:cs="CG Times"/>
      <w:sz w:val="24"/>
      <w:u w:val="none"/>
      <w:vertAlign w:val="superscript"/>
    </w:rPr>
  </w:style>
  <w:style w:type="character" w:styleId="PageNumber">
    <w:name w:val="page number"/>
    <w:basedOn w:val="DefaultParagraphFont"/>
    <w:rPr>
      <w:rFonts w:ascii="CG Times" w:hAnsi="CG Times" w:cs="CG Times"/>
      <w:sz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uble">
    <w:name w:val="Double"/>
    <w:basedOn w:val="Normal"/>
    <w:qFormat/>
    <w:pPr>
      <w:spacing w:lineRule="exact" w:line="480"/>
    </w:pPr>
    <w:rPr/>
  </w:style>
  <w:style w:type="paragraph" w:styleId="QuoteIndent">
    <w:name w:val="QuoteIndent"/>
    <w:basedOn w:val="Normal"/>
    <w:next w:val="Double"/>
    <w:qFormat/>
    <w:pPr>
      <w:spacing w:before="200" w:after="160"/>
      <w:ind w:hanging="0" w:start="720" w:end="720"/>
      <w:jc w:val="both"/>
    </w:pPr>
    <w:rPr/>
  </w:style>
  <w:style w:type="paragraph" w:styleId="SignBlock">
    <w:name w:val="SignBlock"/>
    <w:basedOn w:val="Normal"/>
    <w:qFormat/>
    <w:pPr>
      <w:tabs>
        <w:tab w:val="clear" w:pos="720"/>
        <w:tab w:val="clear" w:pos="1440"/>
        <w:tab w:val="clear" w:pos="2160"/>
        <w:tab w:val="left" w:pos="5040" w:leader="none"/>
        <w:tab w:val="center" w:pos="7200" w:leader="none"/>
        <w:tab w:val="left" w:pos="9360" w:leader="none"/>
      </w:tabs>
    </w:pPr>
    <w:rPr/>
  </w:style>
  <w:style w:type="paragraph" w:styleId="TOC1">
    <w:name w:val="toc 1"/>
    <w:basedOn w:val="Normal"/>
    <w:pPr>
      <w:tabs>
        <w:tab w:val="clear" w:pos="720"/>
        <w:tab w:val="clear" w:pos="1440"/>
        <w:tab w:val="clear" w:pos="2160"/>
        <w:tab w:val="clear" w:pos="5040"/>
        <w:tab w:val="right" w:pos="9360" w:leader="dot"/>
      </w:tabs>
      <w:spacing w:before="0" w:after="240"/>
      <w:ind w:hanging="720" w:start="720" w:end="1440"/>
    </w:pPr>
    <w:rPr/>
  </w:style>
  <w:style w:type="paragraph" w:styleId="TOC2">
    <w:name w:val="toc 2"/>
    <w:basedOn w:val="TOC1"/>
    <w:pPr>
      <w:tabs>
        <w:tab w:val="left" w:pos="1440" w:leader="none"/>
        <w:tab w:val="right" w:pos="9360" w:leader="dot"/>
      </w:tabs>
      <w:ind w:hanging="720" w:start="1440" w:end="1440"/>
    </w:pPr>
    <w:rPr/>
  </w:style>
  <w:style w:type="paragraph" w:styleId="TOC3">
    <w:name w:val="toc 3"/>
    <w:basedOn w:val="TOC2"/>
    <w:pPr>
      <w:tabs>
        <w:tab w:val="left" w:pos="1440" w:leader="none"/>
        <w:tab w:val="left" w:pos="2160" w:leader="none"/>
        <w:tab w:val="right" w:pos="9360" w:leader="dot"/>
      </w:tabs>
      <w:ind w:hanging="720" w:start="2160" w:end="1440"/>
    </w:pPr>
    <w:rPr/>
  </w:style>
  <w:style w:type="paragraph" w:styleId="TOC4">
    <w:name w:val="toc 4"/>
    <w:basedOn w:val="TOC3"/>
    <w:pPr>
      <w:tabs>
        <w:tab w:val="left" w:pos="1440" w:leader="none"/>
        <w:tab w:val="left" w:pos="2160" w:leader="none"/>
        <w:tab w:val="left" w:pos="2880" w:leader="none"/>
        <w:tab w:val="right" w:pos="9360" w:leader="dot"/>
      </w:tabs>
      <w:ind w:hanging="720" w:start="2880" w:end="1440"/>
    </w:pPr>
    <w:rPr/>
  </w:style>
  <w:style w:type="paragraph" w:styleId="TOC5">
    <w:name w:val="toc 5"/>
    <w:basedOn w:val="TOC4"/>
    <w:pPr>
      <w:tabs>
        <w:tab w:val="left" w:pos="1440" w:leader="none"/>
        <w:tab w:val="left" w:pos="2160" w:leader="none"/>
        <w:tab w:val="left" w:pos="2880" w:leader="none"/>
        <w:tab w:val="left" w:pos="3600" w:leader="none"/>
        <w:tab w:val="right" w:pos="9360" w:leader="dot"/>
      </w:tabs>
      <w:ind w:hanging="720" w:start="3600" w:end="1440"/>
    </w:pPr>
    <w:rPr/>
  </w:style>
  <w:style w:type="paragraph" w:styleId="TOC6">
    <w:name w:val="toc 6"/>
    <w:basedOn w:val="TOC5"/>
    <w:next w:val="Normal"/>
    <w:pPr>
      <w:tabs>
        <w:tab w:val="left" w:pos="1440" w:leader="none"/>
        <w:tab w:val="left" w:pos="2160" w:leader="none"/>
        <w:tab w:val="left" w:pos="2880" w:leader="none"/>
        <w:tab w:val="left" w:pos="3600" w:leader="none"/>
        <w:tab w:val="left" w:pos="4320" w:leader="none"/>
        <w:tab w:val="right" w:pos="9360" w:leader="dot"/>
      </w:tabs>
      <w:ind w:hanging="720" w:start="4320" w:end="1440"/>
    </w:pPr>
    <w:rPr/>
  </w:style>
  <w:style w:type="paragraph" w:styleId="HeaderandFooter">
    <w:name w:val="Header and Footer"/>
    <w:basedOn w:val="Normal"/>
    <w:qFormat/>
    <w:pPr>
      <w:suppressLineNumbers/>
      <w:tabs>
        <w:tab w:val="clear" w:pos="720"/>
        <w:tab w:val="clear" w:pos="1440"/>
        <w:tab w:val="clear" w:pos="2160"/>
        <w:tab w:val="clear" w:pos="5040"/>
        <w:tab w:val="center" w:pos="4986" w:leader="none"/>
        <w:tab w:val="right" w:pos="9972" w:leader="none"/>
      </w:tabs>
    </w:pPr>
    <w:rPr/>
  </w:style>
  <w:style w:type="paragraph" w:styleId="Footer">
    <w:name w:val="footer"/>
    <w:basedOn w:val="Normal"/>
    <w:pPr/>
    <w:rPr/>
  </w:style>
  <w:style w:type="paragraph" w:styleId="FootnoteText">
    <w:name w:val="footnote text"/>
    <w:basedOn w:val="Normal"/>
    <w:pPr>
      <w:spacing w:before="0" w:after="120"/>
      <w:ind w:hanging="720" w:start="720" w:end="0"/>
    </w:pPr>
    <w:rPr/>
  </w:style>
  <w:style w:type="paragraph" w:styleId="CenteredSM">
    <w:name w:val="Centered/SM"/>
    <w:basedOn w:val="Normal"/>
    <w:next w:val="Double"/>
    <w:qFormat/>
    <w:pPr>
      <w:keepNext w:val="true"/>
      <w:spacing w:before="0" w:after="120"/>
      <w:ind w:hanging="0" w:start="1440" w:end="1440"/>
      <w:jc w:val="center"/>
    </w:pPr>
    <w:rPr>
      <w:rFonts w:ascii="CG Times Bold;Times New Roman" w:hAnsi="CG Times Bold;Times New Roman" w:cs="CG Times Bold;Times New Roman"/>
      <w:b/>
      <w:smallCaps/>
    </w:rPr>
  </w:style>
  <w:style w:type="paragraph" w:styleId="CenteredHdg">
    <w:name w:val="CenteredHdg."/>
    <w:basedOn w:val="Normal"/>
    <w:next w:val="Double"/>
    <w:qFormat/>
    <w:pPr>
      <w:keepNext w:val="true"/>
      <w:spacing w:before="0" w:after="120"/>
      <w:ind w:hanging="0" w:start="1440" w:end="1440"/>
      <w:jc w:val="center"/>
    </w:pPr>
    <w:rPr>
      <w:rFonts w:ascii="CG Times Bold;Times New Roman" w:hAnsi="CG Times Bold;Times New Roman" w:cs="CG Times Bold;Times New Roman"/>
      <w:b/>
      <w:caps/>
    </w:rPr>
  </w:style>
  <w:style w:type="paragraph" w:styleId="Header">
    <w:name w:val="header"/>
    <w:basedOn w:val="Normal"/>
    <w:pPr/>
    <w:rPr/>
  </w:style>
  <w:style w:type="paragraph" w:styleId="DoubleLine">
    <w:name w:val="DoubleLine"/>
    <w:basedOn w:val="Normal"/>
    <w:next w:val="Normal"/>
    <w:qFormat/>
    <w:pPr>
      <w:tabs>
        <w:tab w:val="clear" w:pos="720"/>
        <w:tab w:val="clear" w:pos="1440"/>
        <w:tab w:val="clear" w:pos="2160"/>
        <w:tab w:val="clear" w:pos="5040"/>
        <w:tab w:val="right" w:pos="9360" w:leader="none"/>
      </w:tabs>
    </w:pPr>
    <w:rPr>
      <w:rFonts w:ascii="Calisto MT" w:hAnsi="Calisto MT" w:cs="Calisto MT"/>
      <w:u w:val="double"/>
    </w:rPr>
  </w:style>
  <w:style w:type="paragraph" w:styleId="QuoteFootnote">
    <w:name w:val="QuoteFootnote"/>
    <w:basedOn w:val="FootnoteText"/>
    <w:next w:val="FootnoteText"/>
    <w:qFormat/>
    <w:pPr>
      <w:ind w:hanging="0" w:start="1440" w:end="720"/>
    </w:pPr>
    <w:rPr/>
  </w:style>
  <w:style w:type="paragraph" w:styleId="Separator">
    <w:name w:val="Separator"/>
    <w:basedOn w:val="Normal"/>
    <w:qFormat/>
    <w:pPr/>
    <w:rPr/>
  </w:style>
  <w:style w:type="paragraph" w:styleId="Subsection">
    <w:name w:val="Subsection"/>
    <w:basedOn w:val="QuoteIndent"/>
    <w:next w:val="Double"/>
    <w:qFormat/>
    <w:pPr>
      <w:keepNext w:val="true"/>
      <w:spacing w:before="120" w:after="120"/>
    </w:pPr>
    <w:rPr>
      <w:b/>
    </w:rPr>
  </w:style>
  <w:style w:type="paragraph" w:styleId="TableofAuthorities">
    <w:name w:val="Table of Authorities"/>
    <w:basedOn w:val="Normal"/>
    <w:next w:val="Normal"/>
    <w:qFormat/>
    <w:pPr>
      <w:keepLines/>
      <w:tabs>
        <w:tab w:val="left" w:pos="720" w:leader="none"/>
        <w:tab w:val="left" w:pos="1440" w:leader="none"/>
        <w:tab w:val="left" w:pos="2160" w:leader="none"/>
        <w:tab w:val="left" w:pos="5040" w:leader="none"/>
        <w:tab w:val="right" w:pos="9360" w:leader="dot"/>
      </w:tabs>
      <w:spacing w:before="0" w:after="240"/>
      <w:ind w:hanging="720" w:start="720" w:end="1440"/>
    </w:pPr>
    <w:rPr/>
  </w:style>
  <w:style w:type="paragraph" w:styleId="TOAHeading">
    <w:name w:val="TOA Heading"/>
    <w:basedOn w:val="Normal"/>
    <w:next w:val="TableofAuthorities"/>
    <w:qFormat/>
    <w:pPr>
      <w:keepNext w:val="true"/>
      <w:spacing w:before="0" w:after="240"/>
      <w:jc w:val="center"/>
    </w:pPr>
    <w:rPr>
      <w:rFonts w:ascii="CG Times Bold;Times New Roman" w:hAnsi="CG Times Bold;Times New Roman" w:cs="CG Times Bold;Times New Roman"/>
      <w:b/>
    </w:rPr>
  </w:style>
  <w:style w:type="paragraph" w:styleId="TOC7">
    <w:name w:val="toc 7"/>
    <w:basedOn w:val="TOC6"/>
    <w:pPr>
      <w:tabs>
        <w:tab w:val="left" w:pos="1440" w:leader="none"/>
        <w:tab w:val="left" w:pos="2160" w:leader="none"/>
        <w:tab w:val="left" w:pos="2880" w:leader="none"/>
        <w:tab w:val="left" w:pos="3600" w:leader="none"/>
        <w:tab w:val="left" w:pos="4320" w:leader="none"/>
        <w:tab w:val="left" w:pos="5040" w:leader="none"/>
        <w:tab w:val="right" w:pos="9360" w:leader="dot"/>
      </w:tabs>
      <w:ind w:hanging="720" w:start="5040" w:end="1440"/>
    </w:pPr>
    <w:rPr/>
  </w:style>
  <w:style w:type="paragraph" w:styleId="TOC8">
    <w:name w:val="toc 8"/>
    <w:basedOn w:val="TOC7"/>
    <w:next w:val="Normal"/>
    <w:pPr>
      <w:tabs>
        <w:tab w:val="left" w:pos="1440" w:leader="none"/>
        <w:tab w:val="left" w:pos="2160" w:leader="none"/>
        <w:tab w:val="left" w:pos="2880" w:leader="none"/>
        <w:tab w:val="left" w:pos="3600" w:leader="none"/>
        <w:tab w:val="left" w:pos="4320" w:leader="none"/>
        <w:tab w:val="left" w:pos="5040" w:leader="none"/>
        <w:tab w:val="left" w:pos="5760" w:leader="none"/>
        <w:tab w:val="right" w:pos="9360" w:leader="dot"/>
      </w:tabs>
      <w:ind w:hanging="720" w:start="5760" w:end="1440"/>
    </w:pPr>
    <w:rPr/>
  </w:style>
  <w:style w:type="paragraph" w:styleId="TOC9">
    <w:name w:val="toc 9"/>
    <w:basedOn w:val="TOC8"/>
    <w:p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dot"/>
      </w:tabs>
      <w:ind w:hanging="720" w:start="648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Pleading--DCA.dot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2001-08-10T18:06:00Z</dcterms:created>
  <dc:creator>Barbara Augenblick</dc:creator>
  <dc:description/>
  <dc:language>en-CA</dc:language>
  <cp:lastModifiedBy>Paul Savage</cp:lastModifiedBy>
  <cp:lastPrinted>2001-08-10T16:05:00Z</cp:lastPrinted>
  <dcterms:modified xsi:type="dcterms:W3CDTF">2001-08-10T18:06:00Z</dcterms:modified>
  <cp:revision>2</cp:revision>
  <dc:subject/>
  <dc:title>WINSTON/MOTION TO EXPEDITE APPEAL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\\MIA-SRV01\SAVAGEP\1330585v01\S$_P01!.DOC\8/10/01\42292.011300</vt:lpwstr>
  </property>
</Properties>
</file>