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ENRON NETWORKS LLC POLICY RELATING TO USE OF THIRD PARTY ELECTRONIC TRADING PLATFORMS</w:t>
      </w:r>
    </w:p>
    <w:p>
      <w:pPr>
        <w:pStyle w:val="Normal"/>
        <w:jc w:val="center"/>
        <w:rPr>
          <w:b/>
          <w:bCs/>
        </w:rPr>
      </w:pPr>
      <w:r>
        <w:rPr>
          <w:b/>
          <w:bCs/>
        </w:rPr>
      </w:r>
    </w:p>
    <w:p>
      <w:pPr>
        <w:pStyle w:val="BodyText2"/>
        <w:numPr>
          <w:ilvl w:val="0"/>
          <w:numId w:val="1"/>
        </w:numPr>
        <w:tabs>
          <w:tab w:val="clear" w:pos="720"/>
          <w:tab w:val="left" w:pos="360" w:leader="none"/>
        </w:tabs>
        <w:ind w:hanging="360" w:start="360" w:end="0"/>
        <w:rPr/>
      </w:pPr>
      <w:r>
        <w:rPr/>
        <w:t xml:space="preserve">In order to ensure effective utilization of third party platforms and adequate legal review of on-line terms and conditions, use of third party trading platforms must be coordinated through Enron Net Works LLC (“ENW”).  Notify Sherrie Thomas immediately if you receive an application, registration form or other form of invitation to trade on a third party electronic trading platform.  </w:t>
      </w:r>
    </w:p>
    <w:p>
      <w:pPr>
        <w:pStyle w:val="Normal"/>
        <w:jc w:val="both"/>
        <w:rPr/>
      </w:pPr>
      <w:r>
        <w:rPr/>
      </w:r>
    </w:p>
    <w:p>
      <w:pPr>
        <w:pStyle w:val="BodyTextIndent2"/>
        <w:rPr/>
      </w:pPr>
      <w:r>
        <w:rPr/>
        <w:t>Q:  Does this apply to any trading platform, including Dow Jones or Altrade bulletin boards, for instance, or bulletin boards or auction platforms hosted by industry consortiums?</w:t>
      </w:r>
    </w:p>
    <w:p>
      <w:pPr>
        <w:pStyle w:val="Normal"/>
        <w:ind w:start="720" w:end="0"/>
        <w:jc w:val="both"/>
        <w:rPr/>
      </w:pPr>
      <w:r>
        <w:rPr/>
      </w:r>
    </w:p>
    <w:p>
      <w:pPr>
        <w:pStyle w:val="BodyTextIndent"/>
        <w:numPr>
          <w:ilvl w:val="0"/>
          <w:numId w:val="1"/>
        </w:numPr>
        <w:ind w:hanging="360" w:start="360" w:end="0"/>
        <w:rPr/>
      </w:pPr>
      <w:r>
        <w:rPr/>
        <w:t>Upon notification that an Enron entity has been approached regarding a third party electronic trading platform, ENW shall send to the third party written notification that any application or registration form submitted without the signature of Andy Zipper or Sherrie Thomas or other ENW designee shall not be authorized by Enron.</w:t>
      </w:r>
    </w:p>
    <w:p>
      <w:pPr>
        <w:pStyle w:val="BodyTextIndent"/>
        <w:tabs>
          <w:tab w:val="clear" w:pos="360"/>
        </w:tabs>
        <w:ind w:hanging="0" w:start="0" w:end="0"/>
        <w:rPr/>
      </w:pPr>
      <w:r>
        <w:rPr/>
      </w:r>
    </w:p>
    <w:p>
      <w:pPr>
        <w:pStyle w:val="BodyTextIndent"/>
        <w:numPr>
          <w:ilvl w:val="0"/>
          <w:numId w:val="1"/>
        </w:numPr>
        <w:ind w:hanging="360" w:start="360" w:end="0"/>
        <w:rPr/>
      </w:pPr>
      <w:r>
        <w:rPr/>
        <w:t xml:space="preserve">ENW will coordinate with the respective Enron commercial group to apply for password(s) and execute relevant hard-copy or electronic documentation required to obtain access to a third party electronic trading platform.  </w:t>
      </w:r>
    </w:p>
    <w:p>
      <w:pPr>
        <w:pStyle w:val="BodyTextIndent"/>
        <w:tabs>
          <w:tab w:val="clear" w:pos="360"/>
        </w:tabs>
        <w:ind w:hanging="0" w:start="0" w:end="0"/>
        <w:rPr/>
      </w:pPr>
      <w:r>
        <w:rPr/>
      </w:r>
    </w:p>
    <w:p>
      <w:pPr>
        <w:pStyle w:val="BodyTextIndent"/>
        <w:numPr>
          <w:ilvl w:val="1"/>
          <w:numId w:val="1"/>
        </w:numPr>
        <w:tabs>
          <w:tab w:val="clear" w:pos="360"/>
        </w:tabs>
        <w:rPr/>
      </w:pPr>
      <w:r>
        <w:rPr/>
        <w:t xml:space="preserve">If the trading platform designates a master user for an account, Sherrie Thomas shall be designated as the master user.  She will set up sub-users for the account after item (6) below is completed.  </w:t>
      </w:r>
    </w:p>
    <w:p>
      <w:pPr>
        <w:pStyle w:val="BodyTextIndent"/>
        <w:tabs>
          <w:tab w:val="clear" w:pos="360"/>
        </w:tabs>
        <w:ind w:hanging="0" w:start="1080" w:end="0"/>
        <w:rPr/>
      </w:pPr>
      <w:r>
        <w:rPr/>
      </w:r>
    </w:p>
    <w:p>
      <w:pPr>
        <w:pStyle w:val="BodyTextIndent"/>
        <w:numPr>
          <w:ilvl w:val="1"/>
          <w:numId w:val="1"/>
        </w:numPr>
        <w:tabs>
          <w:tab w:val="clear" w:pos="360"/>
        </w:tabs>
        <w:rPr/>
      </w:pPr>
      <w:r>
        <w:rPr/>
        <w:t xml:space="preserve">If the trading platform does not provide for a master user, Sherrie Thomas shall apply for the first password.  After item (6) below has been completed, applications for members of the relevant commercial group shall be submitted.  </w:t>
      </w:r>
    </w:p>
    <w:p>
      <w:pPr>
        <w:pStyle w:val="BodyTextIndent"/>
        <w:tabs>
          <w:tab w:val="clear" w:pos="360"/>
        </w:tabs>
        <w:ind w:hanging="0" w:start="0" w:end="0"/>
        <w:rPr/>
      </w:pPr>
      <w:r>
        <w:rPr/>
      </w:r>
    </w:p>
    <w:p>
      <w:pPr>
        <w:pStyle w:val="BodyTextIndent"/>
        <w:numPr>
          <w:ilvl w:val="1"/>
          <w:numId w:val="1"/>
        </w:numPr>
        <w:tabs>
          <w:tab w:val="clear" w:pos="360"/>
        </w:tabs>
        <w:rPr/>
      </w:pPr>
      <w:r>
        <w:rPr/>
        <w:t>In either case, Sherrie Thomas shall act as “master user” and shall determine the appropriate level of access for each trader interested in using the trading platform.</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the password application and other relevant documentation before such documentation may be submitted.  </w:t>
      </w:r>
      <w:r>
        <w:rPr>
          <w:b/>
          <w:bCs/>
        </w:rPr>
        <w:t>Any document that requires acceptance by “clicking” should be treated like any other legal document.  You are not authorized to accept any such click agreement without written approval of the ENW legal team.</w:t>
      </w:r>
    </w:p>
    <w:p>
      <w:pPr>
        <w:pStyle w:val="BodyTextIndent"/>
        <w:tabs>
          <w:tab w:val="clear" w:pos="360"/>
        </w:tabs>
        <w:ind w:hanging="0" w:start="0" w:end="0"/>
        <w:rPr/>
      </w:pPr>
      <w:r>
        <w:rPr/>
      </w:r>
    </w:p>
    <w:p>
      <w:pPr>
        <w:pStyle w:val="BodyTextIndent"/>
        <w:numPr>
          <w:ilvl w:val="0"/>
          <w:numId w:val="1"/>
        </w:numPr>
        <w:ind w:hanging="360" w:start="360" w:end="0"/>
        <w:rPr/>
      </w:pPr>
      <w:r>
        <w:rPr/>
        <w:t>Once the legal team has approved the documentation, the relevant legal team along with the ENW designee from Section 2 above must execute the required documentation, along with an officer of the relevant Enron entity.</w:t>
      </w:r>
    </w:p>
    <w:p>
      <w:pPr>
        <w:pStyle w:val="BodyTextIndent"/>
        <w:tabs>
          <w:tab w:val="clear" w:pos="360"/>
        </w:tabs>
        <w:ind w:hanging="0" w:start="0" w:end="0"/>
        <w:rPr/>
      </w:pPr>
      <w:r>
        <w:rPr/>
      </w:r>
    </w:p>
    <w:p>
      <w:pPr>
        <w:pStyle w:val="BodyTextIndent"/>
        <w:numPr>
          <w:ilvl w:val="0"/>
          <w:numId w:val="1"/>
        </w:numPr>
        <w:ind w:hanging="360" w:start="360" w:end="0"/>
        <w:rPr/>
      </w:pPr>
      <w:r>
        <w:rPr/>
        <w:t xml:space="preserve">The ENW legal team must review and approve all product descriptions and other on-line terms and conditions before a password may be used to trade on a third party electronic trading platform.  If possible, a guest password should be obtained at the earliest opportunity to permit this review as soon as possible.  </w:t>
      </w:r>
    </w:p>
    <w:p>
      <w:pPr>
        <w:pStyle w:val="Normal"/>
        <w:tabs>
          <w:tab w:val="clear" w:pos="720"/>
          <w:tab w:val="left" w:pos="360" w:leader="none"/>
        </w:tabs>
        <w:ind w:start="360" w:end="0"/>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Indent">
    <w:name w:val="Body Text Indent"/>
    <w:basedOn w:val="Normal"/>
    <w:pPr>
      <w:tabs>
        <w:tab w:val="clear" w:pos="720"/>
        <w:tab w:val="left" w:pos="360" w:leader="none"/>
      </w:tabs>
      <w:ind w:hanging="360" w:start="360" w:end="0"/>
      <w:jc w:val="both"/>
    </w:pPr>
    <w:rPr/>
  </w:style>
  <w:style w:type="paragraph" w:styleId="BodyTextIndent2">
    <w:name w:val="Body Text Indent 2"/>
    <w:basedOn w:val="Normal"/>
    <w:qFormat/>
    <w:pPr>
      <w:ind w:hanging="0" w:start="720" w:end="0"/>
      <w:jc w:val="both"/>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2000-10-24T14:41:00Z</dcterms:created>
  <dc:creator>leslie hansen</dc:creator>
  <dc:description/>
  <dc:language>en-CA</dc:language>
  <cp:lastModifiedBy>leslie hansen</cp:lastModifiedBy>
  <cp:lastPrinted>2000-10-24T14:50:00Z</cp:lastPrinted>
  <dcterms:modified xsi:type="dcterms:W3CDTF">2000-10-24T17:20:00Z</dcterms:modified>
  <cp:revision>2</cp:revision>
  <dc:subject/>
  <dc:title>ENRON NETWORKS LLC POLICY RELATING TO USE OF THIRD PARTY ELECTRONIC TRADING PLATFORMS</dc:title>
</cp:coreProperties>
</file>