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Policy Narrative</w:t>
      </w:r>
    </w:p>
    <w:p>
      <w:pPr>
        <w:pStyle w:val="Heading2"/>
        <w:ind w:hanging="0" w:start="0"/>
        <w:rPr/>
      </w:pPr>
      <w:r>
        <w:rPr/>
        <w:t>Draft 0</w:t>
      </w:r>
    </w:p>
    <w:p>
      <w:pPr>
        <w:pStyle w:val="Normal"/>
        <w:rPr>
          <w:b/>
          <w:bCs/>
          <w:sz w:val="28"/>
        </w:rPr>
      </w:pPr>
      <w:r>
        <w:rPr>
          <w:b/>
          <w:bCs/>
          <w:sz w:val="28"/>
        </w:rPr>
        <w:t># 7 Background Investigations Policy</w:t>
      </w:r>
    </w:p>
    <w:p>
      <w:pPr>
        <w:pStyle w:val="Normal"/>
        <w:rPr>
          <w:b/>
          <w:bCs/>
          <w:sz w:val="28"/>
        </w:rPr>
      </w:pPr>
      <w:r>
        <w:rPr>
          <w:b/>
          <w:bCs/>
          <w:sz w:val="28"/>
        </w:rPr>
      </w:r>
    </w:p>
    <w:p>
      <w:pPr>
        <w:pStyle w:val="Normal"/>
        <w:rPr/>
      </w:pPr>
      <w:r>
        <w:rPr/>
        <w:t>Enron’s commitment to a safe work environment and ethical work practices requires diligence in selecting individuals for hire, continued employment, or promotion.  Employing qualified people who are honest, trustworthy, and considerate of workplace behavior involves practices to confirm personal history, work experience, education, and in certain circumstances, prior conduct.  The Company’s decision to hire, promote, transfer, or retain an individual may include information about an individuals’ performance, behavior, and personal integrity.  For these reasons the Company, or an assigned third party, will pursue background checks and where appropriate, employee investigations.</w:t>
      </w:r>
    </w:p>
    <w:p>
      <w:pPr>
        <w:pStyle w:val="Normal"/>
        <w:rPr/>
      </w:pPr>
      <w:r>
        <w:rPr/>
      </w:r>
    </w:p>
    <w:p>
      <w:pPr>
        <w:pStyle w:val="Normal"/>
        <w:rPr/>
      </w:pPr>
      <w:r>
        <w:rPr/>
        <w:t xml:space="preserve">Background checks and investigations may require the use of a consumer-reporting agency and what is known as an investigative consumer report.  Such reports may contain information on an individual’s credit history, credit worthiness, character, reputation, life style, and other personal traits.  Federal law establishes restrictions on the use of information collected by a consumer-reporting agency.  The Company is not a consumer-reporting agency.   </w:t>
      </w:r>
    </w:p>
    <w:p>
      <w:pPr>
        <w:pStyle w:val="Normal"/>
        <w:rPr/>
      </w:pPr>
      <w:r>
        <w:rPr/>
      </w:r>
    </w:p>
    <w:p>
      <w:pPr>
        <w:pStyle w:val="Normal"/>
        <w:rPr/>
      </w:pPr>
      <w:r>
        <w:rPr/>
        <w:t xml:space="preserve">As required by law, a copy of the submitted report as well as a summary of an individual’s rights will be provided when an investigative consumer report is requested from a consumer-reporting agency.  Should the report yield information detrimental to the job action, the law provides an opportunity to correct any untrue or mistaken information.  </w:t>
      </w:r>
    </w:p>
    <w:p>
      <w:pPr>
        <w:pStyle w:val="Normal"/>
        <w:rPr/>
      </w:pPr>
      <w:r>
        <w:rPr/>
      </w:r>
    </w:p>
    <w:p>
      <w:pPr>
        <w:pStyle w:val="Normal"/>
        <w:pBdr>
          <w:bottom w:val="single" w:sz="12" w:space="1" w:color="000000"/>
        </w:pBdr>
        <w:rPr/>
      </w:pPr>
      <w:r>
        <w:rPr/>
        <w:t>The company will comply with the law relating to the collection, utilization, and retention safeguards required of confidential information.  All information generated by background checks, employee investigations, or investigative consumer reports is considered confidential material.</w:t>
      </w:r>
    </w:p>
    <w:p>
      <w:pPr>
        <w:pStyle w:val="Heading3"/>
        <w:ind w:hanging="0" w:start="0"/>
        <w:rPr/>
      </w:pPr>
      <w:r>
        <w:rPr/>
        <w:t>Business Unit Distinctions</w:t>
      </w:r>
    </w:p>
    <w:p>
      <w:pPr>
        <w:pStyle w:val="Normal"/>
        <w:pBdr>
          <w:bottom w:val="single" w:sz="12" w:space="1" w:color="000000"/>
        </w:pBdr>
        <w:rPr/>
      </w:pPr>
      <w:r>
        <w:rPr/>
        <w:t>Business unit HR and Legal will determine the need and rationale behind conducting background checks for post offer applicants, new hires, promotion, transfers, or retention subject to the policy restrictions stated above.</w:t>
      </w:r>
    </w:p>
    <w:p>
      <w:pPr>
        <w:pStyle w:val="Heading3"/>
        <w:ind w:hanging="0" w:start="0"/>
        <w:rPr/>
      </w:pPr>
      <w:r>
        <w:rPr/>
        <w:t>Geo-Regulatory Distinctions</w:t>
      </w:r>
    </w:p>
    <w:p>
      <w:pPr>
        <w:pStyle w:val="Normal"/>
        <w:rPr/>
      </w:pPr>
      <w:r>
        <w:rPr/>
        <w:t xml:space="preserve">Employees and job applicants subject to US law are afforded protections under the Fair Credit Reporting Act. </w:t>
      </w:r>
    </w:p>
    <w:p>
      <w:pPr>
        <w:pStyle w:val="Normal"/>
        <w:rPr/>
      </w:pPr>
      <w:r>
        <w:rPr/>
      </w:r>
    </w:p>
    <w:p>
      <w:pPr>
        <w:pStyle w:val="Normal"/>
        <w:rPr>
          <w:color w:val="0000FF"/>
        </w:rPr>
      </w:pPr>
      <w:r>
        <w:rPr>
          <w:color w:val="0000FF"/>
        </w:rPr>
        <w:t>Comments – Discussions</w:t>
      </w:r>
    </w:p>
    <w:p>
      <w:pPr>
        <w:pStyle w:val="Normal"/>
        <w:rPr>
          <w:color w:val="0000FF"/>
        </w:rPr>
      </w:pPr>
      <w:r>
        <w:rPr>
          <w:color w:val="0000FF"/>
        </w:rPr>
      </w:r>
    </w:p>
    <w:p>
      <w:pPr>
        <w:pStyle w:val="Normal"/>
        <w:rPr>
          <w:color w:val="0000FF"/>
        </w:rPr>
      </w:pPr>
      <w:r>
        <w:rPr>
          <w:color w:val="0000FF"/>
        </w:rPr>
        <w:t>Rick Johnson (6/28/01) – This issue should draw lots of discussions, Please chime in:</w:t>
      </w:r>
    </w:p>
    <w:p>
      <w:pPr>
        <w:pStyle w:val="Normal"/>
        <w:rPr>
          <w:b/>
          <w:bCs/>
          <w:color w:val="0000FF"/>
          <w:sz w:val="28"/>
        </w:rPr>
      </w:pPr>
      <w:r>
        <w:rPr>
          <w:b/>
          <w:bCs/>
          <w:color w:val="0000FF"/>
          <w:sz w:val="28"/>
        </w:rPr>
      </w:r>
    </w:p>
    <w:p>
      <w:pPr>
        <w:pStyle w:val="Normal"/>
        <w:rPr>
          <w:b/>
          <w:bCs/>
          <w:sz w:val="28"/>
        </w:rPr>
      </w:pPr>
      <w:r>
        <w:rPr>
          <w:b/>
          <w:bCs/>
          <w:sz w:val="28"/>
        </w:rPr>
      </w:r>
    </w:p>
    <w:p>
      <w:pPr>
        <w:pStyle w:val="Normal"/>
        <w:rPr>
          <w:b/>
          <w:bCs/>
          <w:sz w:val="28"/>
        </w:rPr>
      </w:pPr>
      <w:r>
        <w:rPr>
          <w:b/>
          <w:bCs/>
          <w:sz w:val="28"/>
        </w:rPr>
      </w:r>
    </w:p>
    <w:p>
      <w:pPr>
        <w:pStyle w:val="Normal"/>
        <w:jc w:val="end"/>
        <w:rPr>
          <w:b/>
          <w:bCs/>
          <w:i/>
          <w:i/>
          <w:iCs/>
          <w:sz w:val="32"/>
        </w:rPr>
      </w:pPr>
      <w:r>
        <w:rPr>
          <w:b/>
          <w:bCs/>
          <w:i/>
          <w:iCs/>
          <w:sz w:val="32"/>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b/>
      <w:bCs/>
      <w:i/>
      <w:iCs/>
      <w:sz w:val="32"/>
    </w:rPr>
  </w:style>
  <w:style w:type="paragraph" w:styleId="Heading2">
    <w:name w:val="heading 2"/>
    <w:basedOn w:val="Normal"/>
    <w:next w:val="Normal"/>
    <w:qFormat/>
    <w:pPr>
      <w:keepNext w:val="true"/>
      <w:numPr>
        <w:ilvl w:val="1"/>
        <w:numId w:val="1"/>
      </w:numPr>
      <w:jc w:val="end"/>
      <w:outlineLvl w:val="1"/>
    </w:pPr>
    <w:rPr>
      <w:b/>
      <w:bCs/>
      <w:i/>
      <w:iCs/>
      <w:sz w:val="28"/>
    </w:rPr>
  </w:style>
  <w:style w:type="paragraph" w:styleId="Heading3">
    <w:name w:val="heading 3"/>
    <w:basedOn w:val="Normal"/>
    <w:next w:val="Normal"/>
    <w:qFormat/>
    <w:pPr>
      <w:keepNext w:val="true"/>
      <w:numPr>
        <w:ilvl w:val="2"/>
        <w:numId w:val="1"/>
      </w:numPr>
      <w:jc w:val="end"/>
      <w:outlineLvl w:val="2"/>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2001-06-29T01:15:00Z</dcterms:created>
  <dc:creator>rjohnso</dc:creator>
  <dc:description/>
  <dc:language>en-CA</dc:language>
  <cp:lastModifiedBy>rjohnso</cp:lastModifiedBy>
  <dcterms:modified xsi:type="dcterms:W3CDTF">2001-07-01T23:22:00Z</dcterms:modified>
  <cp:revision>3</cp:revision>
  <dc:subject/>
  <dc:title>Policy Narrative</dc:title>
</cp:coreProperties>
</file>