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Project No. 23774</w:t>
      </w:r>
    </w:p>
    <w:p>
      <w:pPr>
        <w:pStyle w:val="Normal"/>
        <w:jc w:val="center"/>
        <w:rPr>
          <w:b/>
        </w:rPr>
      </w:pPr>
      <w:r>
        <w:rPr>
          <w:b/>
        </w:rPr>
        <w:t>Implementation of the Capacity Auction Rule</w:t>
      </w:r>
    </w:p>
    <w:p>
      <w:pPr>
        <w:pStyle w:val="Normal"/>
        <w:jc w:val="center"/>
        <w:rPr>
          <w:b/>
        </w:rPr>
      </w:pPr>
      <w:r>
        <w:rPr>
          <w:b/>
        </w:rPr>
        <w:t>Meeting Minutes &amp; Issues List</w:t>
      </w:r>
    </w:p>
    <w:p>
      <w:pPr>
        <w:pStyle w:val="Normal"/>
        <w:jc w:val="center"/>
        <w:rPr>
          <w:b/>
        </w:rPr>
      </w:pPr>
      <w:r>
        <w:rPr>
          <w:b/>
        </w:rPr>
        <w:t>April 5, 2001</w:t>
      </w:r>
    </w:p>
    <w:p>
      <w:pPr>
        <w:pStyle w:val="Normal"/>
        <w:rPr>
          <w:b/>
        </w:rPr>
      </w:pPr>
      <w:r>
        <w:rPr>
          <w:b/>
        </w:rPr>
      </w:r>
    </w:p>
    <w:p>
      <w:pPr>
        <w:pStyle w:val="Normal"/>
        <w:ind w:hanging="720" w:start="720" w:end="0"/>
        <w:rPr>
          <w:b/>
          <w:u w:val="single"/>
        </w:rPr>
      </w:pPr>
      <w:r>
        <w:rPr>
          <w:b/>
          <w:u w:val="single"/>
        </w:rPr>
        <w:t>MEETING MINUTES</w:t>
      </w:r>
    </w:p>
    <w:p>
      <w:pPr>
        <w:pStyle w:val="Normal"/>
        <w:numPr>
          <w:ilvl w:val="0"/>
          <w:numId w:val="2"/>
        </w:numPr>
        <w:rPr/>
      </w:pPr>
      <w:r>
        <w:rPr/>
        <w:t>Stakeholders reviewed and redlined Schedule CA strawdog.</w:t>
      </w:r>
    </w:p>
    <w:p>
      <w:pPr>
        <w:pStyle w:val="Normal"/>
        <w:numPr>
          <w:ilvl w:val="0"/>
          <w:numId w:val="2"/>
        </w:numPr>
        <w:rPr/>
      </w:pPr>
      <w:r>
        <w:rPr/>
        <w:t>Group determined that Schedule CA was applicable to ERCOT.</w:t>
      </w:r>
    </w:p>
    <w:p>
      <w:pPr>
        <w:pStyle w:val="Normal"/>
        <w:numPr>
          <w:ilvl w:val="0"/>
          <w:numId w:val="2"/>
        </w:numPr>
        <w:rPr/>
      </w:pPr>
      <w:r>
        <w:rPr/>
        <w:t xml:space="preserve">Group discussed the resell of entitlements (or portions thereof), pursuant to Subs. R. </w:t>
      </w:r>
      <w:r>
        <w:rPr>
          <w:rFonts w:cs="Tahoma" w:ascii="Tahoma" w:hAnsi="Tahoma"/>
        </w:rPr>
        <w:t>§</w:t>
      </w:r>
      <w:r>
        <w:rPr/>
        <w:t xml:space="preserve">25.381(g) </w:t>
      </w:r>
      <w:r>
        <w:rPr>
          <w:b/>
        </w:rPr>
        <w:t>Resale of Entitlement</w:t>
      </w:r>
      <w:r>
        <w:rPr/>
        <w:t>.</w:t>
      </w:r>
    </w:p>
    <w:p>
      <w:pPr>
        <w:pStyle w:val="Normal"/>
        <w:numPr>
          <w:ilvl w:val="0"/>
          <w:numId w:val="2"/>
        </w:numPr>
        <w:rPr/>
      </w:pPr>
      <w:r>
        <w:rPr/>
        <w:t xml:space="preserve">Group discussed the need for a better definition of emergency condition, pursuant to Subs.R. </w:t>
      </w:r>
      <w:r>
        <w:rPr>
          <w:rFonts w:cs="Tahoma" w:ascii="Tahoma" w:hAnsi="Tahoma"/>
        </w:rPr>
        <w:t>§</w:t>
      </w:r>
      <w:r>
        <w:rPr/>
        <w:t xml:space="preserve">25.381(e)(2) </w:t>
      </w:r>
      <w:r>
        <w:rPr>
          <w:b/>
        </w:rPr>
        <w:t>Forced Outages</w:t>
      </w:r>
      <w:r>
        <w:rPr/>
        <w:t>.</w:t>
      </w:r>
    </w:p>
    <w:p>
      <w:pPr>
        <w:pStyle w:val="Normal"/>
        <w:numPr>
          <w:ilvl w:val="0"/>
          <w:numId w:val="2"/>
        </w:numPr>
        <w:rPr/>
      </w:pPr>
      <w:r>
        <w:rPr/>
        <w:t>Group briefly discussed credit requirements, pursuant Subs. R.</w:t>
      </w:r>
      <w:r>
        <w:rPr>
          <w:rFonts w:cs="Tahoma" w:ascii="Tahoma" w:hAnsi="Tahoma"/>
        </w:rPr>
        <w:t>§</w:t>
      </w:r>
      <w:r>
        <w:rPr/>
        <w:t xml:space="preserve">25.381(e)(5)(D) </w:t>
      </w:r>
      <w:r>
        <w:rPr>
          <w:b/>
        </w:rPr>
        <w:t>Credit Requirements</w:t>
      </w:r>
      <w:r>
        <w:rPr/>
        <w:t>.  Some parties voiced concern over the uncertainty of surety bonds.  PUCT staff stated that Project #23774 was not the forum to address the credit section of the rule.</w:t>
      </w:r>
    </w:p>
    <w:p>
      <w:pPr>
        <w:pStyle w:val="Normal"/>
        <w:numPr>
          <w:ilvl w:val="0"/>
          <w:numId w:val="2"/>
        </w:numPr>
        <w:rPr/>
      </w:pPr>
      <w:r>
        <w:rPr/>
        <w:t xml:space="preserve">Group discussed the timing of ERCOT’s determination of commercially significant congestion zones (CSC’s) for transmission busses (every October) versus the affiliated PGC’s designation of the point on the transmission system where energy from each entitlement is delivered to the buyer, pursuant to Subs. R. </w:t>
      </w:r>
      <w:r>
        <w:rPr>
          <w:rFonts w:cs="Tahoma" w:ascii="Tahoma" w:hAnsi="Tahoma"/>
        </w:rPr>
        <w:t>§</w:t>
      </w:r>
      <w:r>
        <w:rPr/>
        <w:t xml:space="preserve">25.381(e)(4) </w:t>
      </w:r>
      <w:r>
        <w:rPr>
          <w:b/>
        </w:rPr>
        <w:t>Obligations of Affiliated PGC</w:t>
      </w:r>
      <w:r>
        <w:rPr/>
        <w:t>.  Parties expressed concern that CSC’s could change after the affiliated PGC designates the point on the transmission system where energy is delivered to buyer.</w:t>
      </w:r>
    </w:p>
    <w:p>
      <w:pPr>
        <w:pStyle w:val="Normal"/>
        <w:numPr>
          <w:ilvl w:val="0"/>
          <w:numId w:val="2"/>
        </w:numPr>
        <w:rPr/>
      </w:pPr>
      <w:r>
        <w:rPr/>
        <w:t xml:space="preserve">Group discussed scheduling portion of strawdog.  Reliant provided alternative language to the strawdog addressing both scheduling requirements and the types of Ancillary Services available for the products.  The updated strawdog will include Reliant’s proposal in addition to the language included in the original strawdog.  </w:t>
      </w:r>
    </w:p>
    <w:p>
      <w:pPr>
        <w:pStyle w:val="Normal"/>
        <w:numPr>
          <w:ilvl w:val="0"/>
          <w:numId w:val="2"/>
        </w:numPr>
        <w:rPr/>
      </w:pPr>
      <w:r>
        <w:rPr/>
        <w:t xml:space="preserve">Group discussed whether separate contracts for each auctioning affiliated PGC would be preferred due to the differences in the individual companies underlying generation assets and their ability to provide the same types of ancillary services. </w:t>
      </w:r>
    </w:p>
    <w:p>
      <w:pPr>
        <w:pStyle w:val="Normal"/>
        <w:ind w:hanging="720" w:start="720" w:end="0"/>
        <w:rPr/>
      </w:pPr>
      <w:r>
        <w:rPr/>
      </w:r>
    </w:p>
    <w:p>
      <w:pPr>
        <w:pStyle w:val="Normal"/>
        <w:ind w:hanging="720" w:start="720" w:end="0"/>
        <w:rPr>
          <w:b/>
          <w:u w:val="single"/>
        </w:rPr>
      </w:pPr>
      <w:r>
        <w:rPr>
          <w:b/>
          <w:u w:val="single"/>
        </w:rPr>
        <w:t xml:space="preserve">ISSUES LIST </w:t>
      </w:r>
    </w:p>
    <w:p>
      <w:pPr>
        <w:pStyle w:val="Normal"/>
        <w:numPr>
          <w:ilvl w:val="0"/>
          <w:numId w:val="3"/>
        </w:numPr>
        <w:rPr/>
      </w:pPr>
      <w:r>
        <w:rPr/>
        <w:t>Timing of schedules from Buyer to Seller. How much in advance of deadlines for Seller to submit schedules to ERCOT?</w:t>
      </w:r>
    </w:p>
    <w:p>
      <w:pPr>
        <w:pStyle w:val="BodyTextIndent2"/>
        <w:numPr>
          <w:ilvl w:val="0"/>
          <w:numId w:val="3"/>
        </w:numPr>
        <w:rPr/>
      </w:pPr>
      <w:r>
        <w:rPr/>
        <w:t>Are there any AS from Baseload? Can the answer vary by Seller, or should all Sellers have the same requirements?</w:t>
      </w:r>
    </w:p>
    <w:p>
      <w:pPr>
        <w:pStyle w:val="Normal"/>
        <w:numPr>
          <w:ilvl w:val="0"/>
          <w:numId w:val="3"/>
        </w:numPr>
        <w:rPr/>
      </w:pPr>
      <w:r>
        <w:rPr/>
        <w:t>Using RT’s for balancing.</w:t>
      </w:r>
    </w:p>
    <w:p>
      <w:pPr>
        <w:pStyle w:val="Normal"/>
        <w:numPr>
          <w:ilvl w:val="0"/>
          <w:numId w:val="3"/>
        </w:numPr>
        <w:rPr/>
      </w:pPr>
      <w:r>
        <w:rPr/>
        <w:t>What should the delivery points be: single buss, multiple busses, or congestion zones? Operational congestion issues need to be considered.</w:t>
      </w:r>
    </w:p>
    <w:p>
      <w:pPr>
        <w:pStyle w:val="Normal"/>
        <w:numPr>
          <w:ilvl w:val="0"/>
          <w:numId w:val="3"/>
        </w:numPr>
        <w:rPr/>
      </w:pPr>
      <w:r>
        <w:rPr/>
        <w:t>What types of AS from each product? Regulation, Responsive, Non-Spin, Replacement, OOM, Balancing, etc.</w:t>
      </w:r>
    </w:p>
    <w:p>
      <w:pPr>
        <w:pStyle w:val="Normal"/>
        <w:numPr>
          <w:ilvl w:val="0"/>
          <w:numId w:val="3"/>
        </w:numPr>
        <w:rPr/>
      </w:pPr>
      <w:r>
        <w:rPr/>
        <w:t>What compensation should there be for AS?</w:t>
      </w:r>
    </w:p>
    <w:p>
      <w:pPr>
        <w:pStyle w:val="Normal"/>
        <w:numPr>
          <w:ilvl w:val="0"/>
          <w:numId w:val="3"/>
        </w:numPr>
        <w:rPr/>
      </w:pPr>
      <w:r>
        <w:rPr/>
        <w:t>Released Capacity: should it exist at all? If so, what happens to it after it is released?</w:t>
      </w:r>
    </w:p>
    <w:p>
      <w:pPr>
        <w:pStyle w:val="Normal"/>
        <w:numPr>
          <w:ilvl w:val="0"/>
          <w:numId w:val="3"/>
        </w:numPr>
        <w:rPr/>
      </w:pPr>
      <w:r>
        <w:rPr/>
        <w:t>What quantities of AS are available from each product.</w:t>
      </w:r>
    </w:p>
    <w:p>
      <w:pPr>
        <w:pStyle w:val="Normal"/>
        <w:numPr>
          <w:ilvl w:val="0"/>
          <w:numId w:val="3"/>
        </w:numPr>
        <w:rPr/>
      </w:pPr>
      <w:r>
        <w:rPr/>
        <w:t>What should the default schedule be for each product if a Buyer does not timely submit a Day-Ahead Schedule?</w:t>
      </w:r>
    </w:p>
    <w:p>
      <w:pPr>
        <w:pStyle w:val="Normal"/>
        <w:rPr/>
      </w:pPr>
      <w:r>
        <w:rPr/>
      </w:r>
    </w:p>
    <w:sectPr>
      <w:headerReference w:type="default" r:id="rId2"/>
      <w:headerReference w:type="first" r:id="rId3"/>
      <w:type w:val="nextPage"/>
      <w:pgSz w:w="12240" w:h="15840"/>
      <w:pgMar w:left="1440" w:right="1440" w:gutter="0" w:header="720" w:top="180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altName w:val="Bookman Old Style"/>
    <w:charset w:val="00" w:characterSet="windows-1252"/>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2"/>
    <w:docVar w:name="zzmpFixedDOC_ID" w:val="C:\NRPORTBL\Dallas\lovel\MH_99531_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spacing w:before="0" w:after="120"/>
      <w:ind w:hanging="0" w:start="-720" w:end="0"/>
    </w:pPr>
    <w:rPr>
      <w:rFonts w:ascii="EngravrsRoman BT;Bookman Old Style" w:hAnsi="EngravrsRoman BT;Bookman Old Style" w:cs="EngravrsRoman BT;Bookman Old Style"/>
      <w:b/>
      <w:spacing w:val="10"/>
      <w:sz w:val="15"/>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BodyTextIndent2">
    <w:name w:val="Body Text Indent 2"/>
    <w:basedOn w:val="Normal"/>
    <w:qFormat/>
    <w:pPr>
      <w:ind w:hanging="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2001-04-06T12:27:00Z</dcterms:created>
  <dc:creator>Jeb Loveless</dc:creator>
  <dc:description/>
  <dc:language>en-CA</dc:language>
  <cp:lastModifiedBy>Greg Gideon</cp:lastModifiedBy>
  <cp:lastPrinted>2001-04-06T11:17:00Z</cp:lastPrinted>
  <dcterms:modified xsi:type="dcterms:W3CDTF">2001-04-06T14:45:00Z</dcterms:modified>
  <cp:revision>12</cp:revision>
  <dc:subject/>
  <dc:title>MacPac 8.0 Normal template</dc:title>
</cp:coreProperties>
</file>